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30/06/2022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Yaqub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Nazir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Mumtaz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Nazir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Mumtaz SMSF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Investment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