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0826E2" w14:textId="77777777" w:rsidR="000D3836" w:rsidRPr="001B49FF" w:rsidRDefault="000D3836" w:rsidP="004B24BB">
      <w:pPr>
        <w:jc w:val="center"/>
        <w:rPr>
          <w:rFonts w:ascii="Calibri" w:hAnsi="Calibri" w:cs="Times New Roman"/>
          <w:b/>
          <w:bCs w:val="0"/>
          <w:sz w:val="44"/>
          <w:szCs w:val="32"/>
        </w:rPr>
      </w:pPr>
      <w:r w:rsidRPr="001B49FF">
        <w:rPr>
          <w:rFonts w:ascii="Calibri" w:hAnsi="Calibri" w:cs="Times New Roman"/>
          <w:b/>
          <w:bCs w:val="0"/>
          <w:sz w:val="44"/>
          <w:szCs w:val="32"/>
        </w:rPr>
        <w:t>Investment Strategy</w:t>
      </w:r>
    </w:p>
    <w:p w14:paraId="11C88485" w14:textId="77777777" w:rsidR="000D3836" w:rsidRPr="00C40AF0" w:rsidRDefault="000D3836" w:rsidP="00774650">
      <w:pPr>
        <w:jc w:val="center"/>
        <w:rPr>
          <w:rFonts w:ascii="Calibri" w:hAnsi="Calibri"/>
          <w:b/>
          <w:bCs w:val="0"/>
          <w:i/>
          <w:sz w:val="36"/>
          <w:szCs w:val="36"/>
        </w:rPr>
      </w:pPr>
      <w:r w:rsidRPr="00C40AF0">
        <w:rPr>
          <w:rFonts w:ascii="Calibri" w:hAnsi="Calibri"/>
          <w:i/>
          <w:sz w:val="36"/>
          <w:szCs w:val="36"/>
        </w:rPr>
        <w:t xml:space="preserve"> </w:t>
      </w:r>
      <w:r w:rsidRPr="00A0348B">
        <w:rPr>
          <w:rFonts w:ascii="Calibri" w:hAnsi="Calibri"/>
          <w:b/>
          <w:bCs w:val="0"/>
          <w:i/>
          <w:noProof/>
          <w:sz w:val="36"/>
          <w:szCs w:val="36"/>
        </w:rPr>
        <w:t>Sean &amp; Jane Carroll Super Fund</w:t>
      </w:r>
    </w:p>
    <w:p w14:paraId="5490A2AE" w14:textId="77777777" w:rsidR="000D3836" w:rsidRPr="001B49FF" w:rsidRDefault="000D3836" w:rsidP="00014E00">
      <w:pPr>
        <w:jc w:val="center"/>
        <w:rPr>
          <w:rFonts w:ascii="Calibri" w:hAnsi="Calibri" w:cs="Times New Roman"/>
          <w:b/>
          <w:sz w:val="28"/>
          <w:szCs w:val="28"/>
        </w:rPr>
      </w:pPr>
    </w:p>
    <w:p w14:paraId="4BBDC82C" w14:textId="77777777" w:rsidR="000D3836" w:rsidRPr="001B49FF" w:rsidRDefault="000D3836" w:rsidP="004B24BB">
      <w:pPr>
        <w:ind w:right="48"/>
        <w:rPr>
          <w:rFonts w:ascii="Calibri" w:hAnsi="Calibri" w:cs="Times New Roman"/>
          <w:b/>
          <w:bCs w:val="0"/>
        </w:rPr>
      </w:pPr>
    </w:p>
    <w:p w14:paraId="4AB52D74" w14:textId="77777777" w:rsidR="000D3836" w:rsidRPr="001B49FF" w:rsidRDefault="000D3836" w:rsidP="004B24BB">
      <w:pPr>
        <w:ind w:right="48"/>
        <w:rPr>
          <w:rFonts w:ascii="Calibri" w:hAnsi="Calibri" w:cs="Times New Roman"/>
          <w:b/>
          <w:bCs w:val="0"/>
          <w:sz w:val="28"/>
          <w:szCs w:val="28"/>
        </w:rPr>
      </w:pPr>
      <w:r w:rsidRPr="001B49FF">
        <w:rPr>
          <w:rFonts w:ascii="Calibri" w:hAnsi="Calibri" w:cs="Times New Roman"/>
          <w:b/>
          <w:bCs w:val="0"/>
          <w:sz w:val="28"/>
          <w:szCs w:val="28"/>
        </w:rPr>
        <w:t>Background:</w:t>
      </w:r>
    </w:p>
    <w:p w14:paraId="239DA371" w14:textId="77777777" w:rsidR="000D3836" w:rsidRPr="00A033C6" w:rsidRDefault="000D3836" w:rsidP="00774650">
      <w:pPr>
        <w:rPr>
          <w:rFonts w:ascii="Calibri" w:hAnsi="Calibri"/>
          <w:b/>
          <w:bCs w:val="0"/>
          <w:kern w:val="0"/>
          <w:sz w:val="28"/>
          <w:szCs w:val="28"/>
        </w:rPr>
      </w:pPr>
      <w:r w:rsidRPr="00A033C6">
        <w:rPr>
          <w:rFonts w:ascii="Calibri" w:hAnsi="Calibri" w:cs="Times New Roman"/>
          <w:sz w:val="22"/>
        </w:rPr>
        <w:t xml:space="preserve">The investment strategy outlined below represents an expansion and clarification of the Investment Strategy agreed at the formation </w:t>
      </w:r>
      <w:proofErr w:type="gramStart"/>
      <w:r w:rsidRPr="00A033C6">
        <w:rPr>
          <w:rFonts w:ascii="Calibri" w:hAnsi="Calibri" w:cs="Times New Roman"/>
          <w:sz w:val="22"/>
        </w:rPr>
        <w:t>of</w:t>
      </w:r>
      <w:r>
        <w:rPr>
          <w:rFonts w:ascii="Calibri" w:hAnsi="Calibri" w:cs="Times New Roman"/>
          <w:sz w:val="22"/>
        </w:rPr>
        <w:t xml:space="preserve"> </w:t>
      </w:r>
      <w:r w:rsidRPr="00A033C6">
        <w:rPr>
          <w:rFonts w:ascii="Calibri" w:hAnsi="Calibri" w:cs="Times New Roman"/>
          <w:sz w:val="22"/>
        </w:rPr>
        <w:t xml:space="preserve"> </w:t>
      </w:r>
      <w:r w:rsidRPr="00A0348B">
        <w:rPr>
          <w:rFonts w:ascii="Calibri" w:hAnsi="Calibri"/>
          <w:b/>
          <w:noProof/>
          <w:sz w:val="28"/>
          <w:szCs w:val="28"/>
        </w:rPr>
        <w:t>Sean</w:t>
      </w:r>
      <w:proofErr w:type="gramEnd"/>
      <w:r w:rsidRPr="00A0348B">
        <w:rPr>
          <w:rFonts w:ascii="Calibri" w:hAnsi="Calibri"/>
          <w:b/>
          <w:noProof/>
          <w:sz w:val="28"/>
          <w:szCs w:val="28"/>
        </w:rPr>
        <w:t xml:space="preserve"> &amp; Jane Carroll Super Fund</w:t>
      </w:r>
    </w:p>
    <w:p w14:paraId="7193F9E5" w14:textId="4C576A51" w:rsidR="000D3836" w:rsidRPr="00442FB7" w:rsidRDefault="000D3836" w:rsidP="00341236">
      <w:pPr>
        <w:spacing w:before="0" w:after="0" w:line="240" w:lineRule="auto"/>
        <w:rPr>
          <w:rFonts w:ascii="Calibri" w:hAnsi="Calibri" w:cs="Times New Roman"/>
          <w:b/>
          <w:bCs w:val="0"/>
          <w:sz w:val="28"/>
          <w:szCs w:val="28"/>
        </w:rPr>
      </w:pPr>
      <w:r w:rsidRPr="00A033C6">
        <w:rPr>
          <w:rFonts w:ascii="Calibri" w:hAnsi="Calibri" w:cs="Times New Roman"/>
          <w:sz w:val="22"/>
        </w:rPr>
        <w:t xml:space="preserve">This Investment Strategy replaces the Investment Strategy document dated </w:t>
      </w:r>
      <w:r w:rsidRPr="00442FB7">
        <w:rPr>
          <w:rFonts w:ascii="Calibri" w:hAnsi="Calibri" w:cs="Times New Roman"/>
          <w:sz w:val="22"/>
        </w:rPr>
        <w:t>30/06/</w:t>
      </w:r>
      <w:r w:rsidR="006850C7">
        <w:rPr>
          <w:rFonts w:ascii="Calibri" w:hAnsi="Calibri" w:cs="Times New Roman"/>
          <w:sz w:val="22"/>
        </w:rPr>
        <w:t>2018</w:t>
      </w:r>
    </w:p>
    <w:p w14:paraId="54E6A9D8" w14:textId="77777777" w:rsidR="000D3836" w:rsidRDefault="000D3836" w:rsidP="004B24BB">
      <w:pPr>
        <w:ind w:right="48"/>
        <w:rPr>
          <w:rFonts w:ascii="Calibri" w:hAnsi="Calibri" w:cs="Times New Roman"/>
          <w:b/>
          <w:bCs w:val="0"/>
          <w:sz w:val="28"/>
          <w:szCs w:val="28"/>
        </w:rPr>
      </w:pPr>
    </w:p>
    <w:p w14:paraId="300EB3CA" w14:textId="77777777" w:rsidR="000D3836" w:rsidRPr="00A033C6" w:rsidRDefault="000D3836" w:rsidP="00A033C6">
      <w:pPr>
        <w:ind w:right="45"/>
        <w:rPr>
          <w:rFonts w:ascii="Calibri" w:hAnsi="Calibri" w:cs="Times New Roman"/>
          <w:sz w:val="22"/>
        </w:rPr>
      </w:pPr>
      <w:r w:rsidRPr="00A033C6">
        <w:rPr>
          <w:rFonts w:ascii="Calibri" w:hAnsi="Calibri" w:cs="Times New Roman"/>
          <w:sz w:val="22"/>
        </w:rPr>
        <w:t xml:space="preserve">Pearson Group requested Ord </w:t>
      </w:r>
      <w:proofErr w:type="spellStart"/>
      <w:r w:rsidRPr="00A033C6">
        <w:rPr>
          <w:rFonts w:ascii="Calibri" w:hAnsi="Calibri" w:cs="Times New Roman"/>
          <w:sz w:val="22"/>
        </w:rPr>
        <w:t>Minnett</w:t>
      </w:r>
      <w:proofErr w:type="spellEnd"/>
      <w:r w:rsidRPr="00A033C6">
        <w:rPr>
          <w:rFonts w:ascii="Calibri" w:hAnsi="Calibri" w:cs="Times New Roman"/>
          <w:sz w:val="22"/>
        </w:rPr>
        <w:t xml:space="preserve"> Stockbrokers to provide an overview of the best performing superfunds over five years to September 2019 including industry superfunds. A summary of their advice attaches to this Investment Strategy Report. </w:t>
      </w:r>
    </w:p>
    <w:p w14:paraId="3F140A93" w14:textId="77777777" w:rsidR="000D3836" w:rsidRPr="001B49FF" w:rsidRDefault="000D3836" w:rsidP="004B24BB">
      <w:pPr>
        <w:ind w:right="48"/>
        <w:rPr>
          <w:rFonts w:ascii="Calibri" w:hAnsi="Calibri" w:cs="Times New Roman"/>
          <w:b/>
          <w:bCs w:val="0"/>
          <w:sz w:val="28"/>
          <w:szCs w:val="28"/>
        </w:rPr>
      </w:pPr>
      <w:r w:rsidRPr="001B49FF">
        <w:rPr>
          <w:rFonts w:ascii="Calibri" w:hAnsi="Calibri" w:cs="Times New Roman"/>
          <w:b/>
          <w:bCs w:val="0"/>
          <w:sz w:val="28"/>
          <w:szCs w:val="28"/>
        </w:rPr>
        <w:t>Objectives:</w:t>
      </w:r>
    </w:p>
    <w:p w14:paraId="7EE67A19" w14:textId="77777777" w:rsidR="000D3836" w:rsidRPr="001B49FF" w:rsidRDefault="000D3836" w:rsidP="004B24BB">
      <w:pPr>
        <w:spacing w:before="0" w:after="0" w:line="240" w:lineRule="auto"/>
        <w:jc w:val="both"/>
        <w:rPr>
          <w:rFonts w:ascii="Calibri" w:hAnsi="Calibri" w:cs="Times New Roman"/>
          <w:sz w:val="22"/>
        </w:rPr>
      </w:pPr>
      <w:r w:rsidRPr="001B49FF">
        <w:rPr>
          <w:rFonts w:ascii="Calibri" w:hAnsi="Calibri" w:cs="Times New Roman"/>
          <w:sz w:val="22"/>
        </w:rPr>
        <w:t>The objective of the fund is to:</w:t>
      </w:r>
    </w:p>
    <w:p w14:paraId="6AE702F9" w14:textId="77777777" w:rsidR="000D3836" w:rsidRPr="001B49FF" w:rsidRDefault="000D3836" w:rsidP="004B24BB">
      <w:pPr>
        <w:spacing w:before="0" w:after="0" w:line="240" w:lineRule="auto"/>
        <w:jc w:val="both"/>
        <w:rPr>
          <w:rFonts w:ascii="Calibri" w:hAnsi="Calibri" w:cs="Times New Roman"/>
          <w:sz w:val="22"/>
        </w:rPr>
      </w:pPr>
    </w:p>
    <w:p w14:paraId="3B69E7E5"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Provide superannuation benefits to members and their dependants to meet their retirement needs.</w:t>
      </w:r>
    </w:p>
    <w:p w14:paraId="68F20325"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Ensure that appropriate mixes of investments are held by the fund to support these needs</w:t>
      </w:r>
    </w:p>
    <w:p w14:paraId="276FA32C"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Ensure the fund </w:t>
      </w:r>
      <w:proofErr w:type="gramStart"/>
      <w:r w:rsidRPr="001B49FF">
        <w:rPr>
          <w:rFonts w:ascii="Calibri" w:hAnsi="Calibri" w:cs="Times New Roman"/>
          <w:sz w:val="22"/>
        </w:rPr>
        <w:t>has sufficient liquidity at all times</w:t>
      </w:r>
      <w:proofErr w:type="gramEnd"/>
      <w:r w:rsidRPr="001B49FF">
        <w:rPr>
          <w:rFonts w:ascii="Calibri" w:hAnsi="Calibri" w:cs="Times New Roman"/>
          <w:sz w:val="22"/>
        </w:rPr>
        <w:t xml:space="preserve"> to meet all commitments</w:t>
      </w:r>
    </w:p>
    <w:p w14:paraId="00D384B6"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Maximise the tax effectiveness of fund investments thereby delivering the best </w:t>
      </w:r>
      <w:proofErr w:type="gramStart"/>
      <w:r w:rsidRPr="001B49FF">
        <w:rPr>
          <w:rFonts w:ascii="Calibri" w:hAnsi="Calibri" w:cs="Times New Roman"/>
          <w:sz w:val="22"/>
        </w:rPr>
        <w:t>long term after tax</w:t>
      </w:r>
      <w:proofErr w:type="gramEnd"/>
      <w:r w:rsidRPr="001B49FF">
        <w:rPr>
          <w:rFonts w:ascii="Calibri" w:hAnsi="Calibri" w:cs="Times New Roman"/>
          <w:sz w:val="22"/>
        </w:rPr>
        <w:t xml:space="preserve"> return for members.</w:t>
      </w:r>
    </w:p>
    <w:p w14:paraId="4D96F6A9" w14:textId="77777777" w:rsidR="000D3836" w:rsidRPr="001B49FF" w:rsidRDefault="000D3836" w:rsidP="004B24BB">
      <w:pPr>
        <w:spacing w:before="0" w:after="0" w:line="240" w:lineRule="auto"/>
        <w:jc w:val="both"/>
        <w:rPr>
          <w:rFonts w:ascii="Calibri" w:hAnsi="Calibri" w:cs="Times New Roman"/>
          <w:sz w:val="22"/>
        </w:rPr>
      </w:pPr>
    </w:p>
    <w:p w14:paraId="3381823F" w14:textId="77777777" w:rsidR="000D3836" w:rsidRPr="001B49FF" w:rsidRDefault="000D3836" w:rsidP="00341236">
      <w:pPr>
        <w:spacing w:before="0" w:after="0" w:line="240" w:lineRule="auto"/>
        <w:rPr>
          <w:rFonts w:ascii="Calibri" w:hAnsi="Calibri" w:cs="Times New Roman"/>
          <w:sz w:val="22"/>
        </w:rPr>
      </w:pPr>
      <w:r w:rsidRPr="001B49FF">
        <w:rPr>
          <w:rFonts w:ascii="Calibri" w:hAnsi="Calibri" w:cs="Times New Roman"/>
          <w:sz w:val="22"/>
        </w:rPr>
        <w:t xml:space="preserve">The Investment objective of the trustees is to aim to achieve real medium to longer-term growth. In recognition of the </w:t>
      </w:r>
      <w:proofErr w:type="gramStart"/>
      <w:r>
        <w:rPr>
          <w:rFonts w:ascii="Calibri" w:hAnsi="Calibri" w:cs="Times New Roman"/>
          <w:sz w:val="22"/>
        </w:rPr>
        <w:t>20</w:t>
      </w:r>
      <w:r w:rsidRPr="001B49FF">
        <w:rPr>
          <w:rFonts w:ascii="Calibri" w:hAnsi="Calibri" w:cs="Times New Roman"/>
          <w:color w:val="FF0000"/>
          <w:sz w:val="22"/>
        </w:rPr>
        <w:t xml:space="preserve"> </w:t>
      </w:r>
      <w:r w:rsidRPr="001B49FF">
        <w:rPr>
          <w:rFonts w:ascii="Calibri" w:hAnsi="Calibri" w:cs="Times New Roman"/>
          <w:sz w:val="22"/>
        </w:rPr>
        <w:t>year</w:t>
      </w:r>
      <w:proofErr w:type="gramEnd"/>
      <w:r w:rsidRPr="001B49FF">
        <w:rPr>
          <w:rFonts w:ascii="Calibri" w:hAnsi="Calibri" w:cs="Times New Roman"/>
          <w:sz w:val="22"/>
        </w:rPr>
        <w:t xml:space="preserve"> investment time frame of members the fund will have a </w:t>
      </w:r>
      <w:r>
        <w:rPr>
          <w:rFonts w:ascii="Calibri" w:hAnsi="Calibri" w:cs="Times New Roman"/>
          <w:sz w:val="22"/>
        </w:rPr>
        <w:t>high</w:t>
      </w:r>
      <w:r w:rsidRPr="001B49FF">
        <w:rPr>
          <w:rFonts w:ascii="Calibri" w:hAnsi="Calibri" w:cs="Times New Roman"/>
          <w:sz w:val="22"/>
        </w:rPr>
        <w:t xml:space="preserve"> proportion of growth assets in the portfolio</w:t>
      </w:r>
      <w:r>
        <w:rPr>
          <w:rFonts w:ascii="Calibri" w:hAnsi="Calibri" w:cs="Times New Roman"/>
          <w:sz w:val="22"/>
        </w:rPr>
        <w:t xml:space="preserve"> in accordance with Ord </w:t>
      </w:r>
      <w:proofErr w:type="spellStart"/>
      <w:r>
        <w:rPr>
          <w:rFonts w:ascii="Calibri" w:hAnsi="Calibri" w:cs="Times New Roman"/>
          <w:sz w:val="22"/>
        </w:rPr>
        <w:t>Minnett</w:t>
      </w:r>
      <w:proofErr w:type="spellEnd"/>
      <w:r>
        <w:rPr>
          <w:rFonts w:ascii="Calibri" w:hAnsi="Calibri" w:cs="Times New Roman"/>
          <w:sz w:val="22"/>
        </w:rPr>
        <w:t xml:space="preserve"> advice.</w:t>
      </w:r>
    </w:p>
    <w:p w14:paraId="0A6E6975" w14:textId="77777777" w:rsidR="000D3836" w:rsidRPr="001B49FF" w:rsidRDefault="000D3836" w:rsidP="004B24BB">
      <w:pPr>
        <w:spacing w:before="0" w:after="0" w:line="240" w:lineRule="auto"/>
        <w:jc w:val="both"/>
        <w:rPr>
          <w:rFonts w:ascii="Calibri" w:hAnsi="Calibri" w:cs="Times New Roman"/>
          <w:sz w:val="22"/>
        </w:rPr>
      </w:pPr>
    </w:p>
    <w:p w14:paraId="48D05451" w14:textId="77777777" w:rsidR="000D3836" w:rsidRPr="001B49FF" w:rsidRDefault="000D3836" w:rsidP="004B24BB">
      <w:pPr>
        <w:spacing w:before="0" w:after="0" w:line="240" w:lineRule="auto"/>
        <w:jc w:val="both"/>
        <w:rPr>
          <w:rFonts w:ascii="Calibri" w:hAnsi="Calibri" w:cs="Times New Roman"/>
          <w:b/>
          <w:sz w:val="28"/>
          <w:szCs w:val="28"/>
        </w:rPr>
      </w:pPr>
    </w:p>
    <w:p w14:paraId="7B3F84B5" w14:textId="77777777" w:rsidR="000D3836" w:rsidRPr="001B49FF" w:rsidRDefault="000D3836" w:rsidP="004B24BB">
      <w:pPr>
        <w:spacing w:before="0" w:after="0" w:line="240" w:lineRule="auto"/>
        <w:jc w:val="both"/>
        <w:rPr>
          <w:rFonts w:ascii="Calibri" w:hAnsi="Calibri" w:cs="Times New Roman"/>
          <w:b/>
          <w:sz w:val="28"/>
          <w:szCs w:val="28"/>
        </w:rPr>
      </w:pPr>
      <w:r w:rsidRPr="001B49FF">
        <w:rPr>
          <w:rFonts w:ascii="Calibri" w:hAnsi="Calibri" w:cs="Times New Roman"/>
          <w:b/>
          <w:sz w:val="28"/>
          <w:szCs w:val="28"/>
        </w:rPr>
        <w:t>Investment Choice:</w:t>
      </w:r>
    </w:p>
    <w:p w14:paraId="4ED3196D" w14:textId="77777777" w:rsidR="000D3836" w:rsidRPr="001B49FF" w:rsidRDefault="000D3836" w:rsidP="004B24BB">
      <w:pPr>
        <w:spacing w:before="0" w:after="0" w:line="240" w:lineRule="auto"/>
        <w:jc w:val="both"/>
        <w:rPr>
          <w:rFonts w:ascii="Calibri" w:hAnsi="Calibri" w:cs="Times New Roman"/>
          <w:sz w:val="22"/>
        </w:rPr>
      </w:pPr>
    </w:p>
    <w:p w14:paraId="1383463D" w14:textId="77777777" w:rsidR="000D3836" w:rsidRPr="001B49FF" w:rsidRDefault="000D3836"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Trustees have determined the fund’s investments may include but not be limited to all or one of the following: </w:t>
      </w:r>
    </w:p>
    <w:p w14:paraId="2E2A4B42" w14:textId="77777777" w:rsidR="000D3836" w:rsidRPr="001B49FF" w:rsidRDefault="000D3836" w:rsidP="004B24BB">
      <w:pPr>
        <w:spacing w:before="0" w:after="0" w:line="240" w:lineRule="auto"/>
        <w:jc w:val="both"/>
        <w:rPr>
          <w:rFonts w:ascii="Calibri" w:hAnsi="Calibri" w:cs="Times New Roman"/>
          <w:sz w:val="22"/>
        </w:rPr>
      </w:pPr>
    </w:p>
    <w:p w14:paraId="2795E630"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Direct equities, stocks and derivatives including participation in dividend reinvestment programs and right issues, including the use of geared instalment warrants:</w:t>
      </w:r>
    </w:p>
    <w:p w14:paraId="3CAC96A8"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Property trusts and associated investments:</w:t>
      </w:r>
    </w:p>
    <w:p w14:paraId="441C6EFE"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Managed investments and associated products: </w:t>
      </w:r>
    </w:p>
    <w:p w14:paraId="11DAD673"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Direct residential, </w:t>
      </w:r>
      <w:proofErr w:type="gramStart"/>
      <w:r w:rsidRPr="001B49FF">
        <w:rPr>
          <w:rFonts w:ascii="Calibri" w:hAnsi="Calibri" w:cs="Times New Roman"/>
          <w:sz w:val="22"/>
        </w:rPr>
        <w:t>industrial</w:t>
      </w:r>
      <w:proofErr w:type="gramEnd"/>
      <w:r w:rsidRPr="001B49FF">
        <w:rPr>
          <w:rFonts w:ascii="Calibri" w:hAnsi="Calibri" w:cs="Times New Roman"/>
          <w:sz w:val="22"/>
        </w:rPr>
        <w:t xml:space="preserve"> and commercial property investment including geared property investments purchased using allowable limited recourse borrowing arrangements:</w:t>
      </w:r>
    </w:p>
    <w:p w14:paraId="1361BAE5"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lastRenderedPageBreak/>
        <w:t>Deposits and investments with banks and other financial institution securities including Term Deposits, Debentures, Secured and Unsecured Notes and Bonds:</w:t>
      </w:r>
    </w:p>
    <w:p w14:paraId="274B90C0"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Any other investment that the trustees may feel prudent to achieve the objective of the fund.</w:t>
      </w:r>
    </w:p>
    <w:p w14:paraId="18FCDA03" w14:textId="77777777" w:rsidR="000D3836" w:rsidRPr="001B49FF" w:rsidRDefault="000D3836" w:rsidP="004B24BB">
      <w:pPr>
        <w:spacing w:before="0" w:after="0" w:line="240" w:lineRule="auto"/>
        <w:jc w:val="both"/>
        <w:rPr>
          <w:rFonts w:ascii="Calibri" w:hAnsi="Calibri" w:cs="Times New Roman"/>
          <w:sz w:val="22"/>
        </w:rPr>
      </w:pPr>
    </w:p>
    <w:p w14:paraId="37446AC6" w14:textId="77777777" w:rsidR="000D3836" w:rsidRPr="001B49FF" w:rsidRDefault="000D3836" w:rsidP="004B24BB">
      <w:pPr>
        <w:spacing w:before="0" w:after="0" w:line="240" w:lineRule="auto"/>
        <w:jc w:val="both"/>
        <w:rPr>
          <w:rFonts w:ascii="Calibri" w:hAnsi="Calibri" w:cs="Times New Roman"/>
          <w:sz w:val="22"/>
        </w:rPr>
      </w:pPr>
      <w:r w:rsidRPr="001B49FF">
        <w:rPr>
          <w:rFonts w:ascii="Calibri" w:hAnsi="Calibri" w:cs="Times New Roman"/>
          <w:sz w:val="22"/>
        </w:rPr>
        <w:t xml:space="preserve">The Trustee may from time to time decide to seek professional advice from Accountants, Solicitors or Financial Planners in the formulation or implementation of this or any future investment strategy. </w:t>
      </w:r>
    </w:p>
    <w:p w14:paraId="56C104EC" w14:textId="77777777" w:rsidR="000D3836" w:rsidRPr="001B49FF" w:rsidRDefault="000D3836" w:rsidP="004B24BB">
      <w:pPr>
        <w:spacing w:before="0" w:after="0" w:line="240" w:lineRule="auto"/>
        <w:jc w:val="both"/>
        <w:rPr>
          <w:rFonts w:ascii="Calibri" w:hAnsi="Calibri" w:cs="Times New Roman"/>
          <w:sz w:val="22"/>
        </w:rPr>
      </w:pPr>
    </w:p>
    <w:p w14:paraId="45E6A727" w14:textId="77777777" w:rsidR="000D3836" w:rsidRPr="001B49FF" w:rsidRDefault="000D3836" w:rsidP="004B24BB">
      <w:pPr>
        <w:spacing w:before="0" w:after="0" w:line="240" w:lineRule="auto"/>
        <w:jc w:val="both"/>
        <w:rPr>
          <w:rFonts w:ascii="Calibri" w:hAnsi="Calibri" w:cs="Times New Roman"/>
          <w:sz w:val="22"/>
        </w:rPr>
      </w:pPr>
      <w:r w:rsidRPr="001B49FF">
        <w:rPr>
          <w:rFonts w:ascii="Calibri" w:hAnsi="Calibri" w:cs="Times New Roman"/>
          <w:sz w:val="22"/>
        </w:rPr>
        <w:t>In formulating this strategy, the trustees have taken into consideration relevant features of the various investments in accordance with both the fund’s objectives and appropriate legislation.</w:t>
      </w:r>
    </w:p>
    <w:p w14:paraId="3CA75FB4" w14:textId="77777777" w:rsidR="000D3836" w:rsidRPr="001B49FF" w:rsidRDefault="000D3836" w:rsidP="004B24BB">
      <w:pPr>
        <w:pStyle w:val="NormalWeb"/>
        <w:spacing w:before="0" w:beforeAutospacing="0" w:after="0" w:afterAutospacing="0"/>
        <w:rPr>
          <w:rFonts w:ascii="Calibri" w:hAnsi="Calibri"/>
          <w:sz w:val="22"/>
          <w:szCs w:val="22"/>
        </w:rPr>
      </w:pPr>
    </w:p>
    <w:p w14:paraId="7C0F62BD" w14:textId="77777777" w:rsidR="000D3836" w:rsidRPr="001B49FF" w:rsidRDefault="000D3836" w:rsidP="004B24BB">
      <w:pPr>
        <w:pStyle w:val="NormalWeb"/>
        <w:spacing w:before="0" w:beforeAutospacing="0" w:after="0" w:afterAutospacing="0"/>
        <w:rPr>
          <w:rFonts w:ascii="Calibri" w:hAnsi="Calibri"/>
          <w:sz w:val="22"/>
          <w:szCs w:val="22"/>
        </w:rPr>
      </w:pPr>
      <w:r w:rsidRPr="001B49FF">
        <w:rPr>
          <w:rFonts w:ascii="Calibri" w:hAnsi="Calibri"/>
          <w:sz w:val="22"/>
          <w:szCs w:val="22"/>
        </w:rPr>
        <w:t xml:space="preserve">In drafting this investment strategy, the trustees have </w:t>
      </w:r>
      <w:proofErr w:type="gramStart"/>
      <w:r w:rsidRPr="001B49FF">
        <w:rPr>
          <w:rFonts w:ascii="Calibri" w:hAnsi="Calibri"/>
          <w:sz w:val="22"/>
          <w:szCs w:val="22"/>
        </w:rPr>
        <w:t>taken into account</w:t>
      </w:r>
      <w:proofErr w:type="gramEnd"/>
      <w:r w:rsidRPr="001B49FF">
        <w:rPr>
          <w:rFonts w:ascii="Calibri" w:hAnsi="Calibri"/>
          <w:sz w:val="22"/>
          <w:szCs w:val="22"/>
        </w:rPr>
        <w:t xml:space="preserve"> all of the circumstances of the fund, including:</w:t>
      </w:r>
    </w:p>
    <w:p w14:paraId="754BF181" w14:textId="77777777" w:rsidR="000D3836" w:rsidRPr="001B49FF" w:rsidRDefault="000D3836" w:rsidP="004B24BB">
      <w:pPr>
        <w:pStyle w:val="NormalWeb"/>
        <w:spacing w:before="0" w:beforeAutospacing="0" w:after="0" w:afterAutospacing="0"/>
        <w:rPr>
          <w:rFonts w:ascii="Calibri" w:hAnsi="Calibri"/>
          <w:sz w:val="22"/>
          <w:szCs w:val="22"/>
        </w:rPr>
      </w:pPr>
    </w:p>
    <w:p w14:paraId="7D7CE403" w14:textId="77777777" w:rsidR="000D3836" w:rsidRPr="001B49FF" w:rsidRDefault="000D3836" w:rsidP="0075683A">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risks and likely return associated with each </w:t>
      </w:r>
      <w:proofErr w:type="gramStart"/>
      <w:r w:rsidRPr="001B49FF">
        <w:rPr>
          <w:rFonts w:ascii="Calibri" w:hAnsi="Calibri" w:cs="Times New Roman"/>
          <w:sz w:val="22"/>
        </w:rPr>
        <w:t>investment;</w:t>
      </w:r>
      <w:proofErr w:type="gramEnd"/>
    </w:p>
    <w:p w14:paraId="3B443490"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range and diversity of investments held by the </w:t>
      </w:r>
      <w:proofErr w:type="gramStart"/>
      <w:r w:rsidRPr="001B49FF">
        <w:rPr>
          <w:rFonts w:ascii="Calibri" w:hAnsi="Calibri" w:cs="Times New Roman"/>
          <w:sz w:val="22"/>
        </w:rPr>
        <w:t>fund;</w:t>
      </w:r>
      <w:proofErr w:type="gramEnd"/>
    </w:p>
    <w:p w14:paraId="42A13A53"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any risks coming from limited </w:t>
      </w:r>
      <w:proofErr w:type="gramStart"/>
      <w:r w:rsidRPr="001B49FF">
        <w:rPr>
          <w:rFonts w:ascii="Calibri" w:hAnsi="Calibri" w:cs="Times New Roman"/>
          <w:sz w:val="22"/>
        </w:rPr>
        <w:t>diversification;</w:t>
      </w:r>
      <w:proofErr w:type="gramEnd"/>
    </w:p>
    <w:p w14:paraId="3E475CF7"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liquidity of the fund’s </w:t>
      </w:r>
      <w:proofErr w:type="gramStart"/>
      <w:r w:rsidRPr="001B49FF">
        <w:rPr>
          <w:rFonts w:ascii="Calibri" w:hAnsi="Calibri" w:cs="Times New Roman"/>
          <w:sz w:val="22"/>
        </w:rPr>
        <w:t>investments;</w:t>
      </w:r>
      <w:proofErr w:type="gramEnd"/>
    </w:p>
    <w:p w14:paraId="52C64F43"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the ages and preferences of its </w:t>
      </w:r>
      <w:proofErr w:type="gramStart"/>
      <w:r w:rsidRPr="001B49FF">
        <w:rPr>
          <w:rFonts w:ascii="Calibri" w:hAnsi="Calibri" w:cs="Times New Roman"/>
          <w:sz w:val="22"/>
        </w:rPr>
        <w:t>members;</w:t>
      </w:r>
      <w:proofErr w:type="gramEnd"/>
    </w:p>
    <w:p w14:paraId="1CDBADE2"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expected cash flow requirements; and</w:t>
      </w:r>
    </w:p>
    <w:p w14:paraId="32AA8A33"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the ability of the fund to meet its existing and prospective liabilities such as paying benefits to its members.</w:t>
      </w:r>
    </w:p>
    <w:p w14:paraId="53848ADC" w14:textId="77777777" w:rsidR="000D3836" w:rsidRPr="001B49FF" w:rsidRDefault="000D3836" w:rsidP="004B24BB">
      <w:pPr>
        <w:spacing w:before="0" w:after="0" w:line="240" w:lineRule="auto"/>
        <w:jc w:val="both"/>
        <w:rPr>
          <w:rFonts w:ascii="Calibri" w:hAnsi="Calibri" w:cs="Times New Roman"/>
          <w:b/>
          <w:bCs w:val="0"/>
          <w:sz w:val="22"/>
        </w:rPr>
      </w:pPr>
    </w:p>
    <w:p w14:paraId="1ED00CF0" w14:textId="77777777" w:rsidR="000D3836" w:rsidRPr="001B49FF" w:rsidRDefault="000D3836" w:rsidP="004B24BB">
      <w:pPr>
        <w:spacing w:before="0" w:after="0" w:line="240" w:lineRule="auto"/>
        <w:jc w:val="both"/>
        <w:rPr>
          <w:rFonts w:ascii="Calibri" w:hAnsi="Calibri" w:cs="Times New Roman"/>
          <w:b/>
          <w:bCs w:val="0"/>
          <w:sz w:val="28"/>
          <w:szCs w:val="28"/>
        </w:rPr>
      </w:pPr>
    </w:p>
    <w:p w14:paraId="2E8D260F" w14:textId="77777777" w:rsidR="000D3836" w:rsidRPr="001B49FF" w:rsidRDefault="000D3836" w:rsidP="004B24BB">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Policies:</w:t>
      </w:r>
    </w:p>
    <w:p w14:paraId="77F9E33D" w14:textId="77777777" w:rsidR="000D3836" w:rsidRPr="001B49FF" w:rsidRDefault="000D3836" w:rsidP="004B24BB">
      <w:pPr>
        <w:pStyle w:val="BodyTextIndent"/>
        <w:spacing w:before="0" w:after="0" w:line="240" w:lineRule="auto"/>
        <w:rPr>
          <w:rFonts w:ascii="Calibri" w:hAnsi="Calibri" w:cs="Times New Roman"/>
          <w:sz w:val="22"/>
        </w:rPr>
      </w:pPr>
    </w:p>
    <w:p w14:paraId="488F9A8A" w14:textId="77777777" w:rsidR="000D3836" w:rsidRPr="001B49FF" w:rsidRDefault="000D3836" w:rsidP="004B24BB">
      <w:pPr>
        <w:pStyle w:val="BodyTextIndent"/>
        <w:spacing w:before="0" w:after="0" w:line="240" w:lineRule="auto"/>
        <w:rPr>
          <w:rFonts w:ascii="Calibri" w:hAnsi="Calibri" w:cs="Times New Roman"/>
          <w:sz w:val="22"/>
        </w:rPr>
      </w:pPr>
      <w:r w:rsidRPr="001B49FF">
        <w:rPr>
          <w:rFonts w:ascii="Calibri" w:hAnsi="Calibri" w:cs="Times New Roman"/>
          <w:sz w:val="22"/>
        </w:rPr>
        <w:t xml:space="preserve">The policies adopted by the Trustees </w:t>
      </w:r>
      <w:proofErr w:type="gramStart"/>
      <w:r w:rsidRPr="001B49FF">
        <w:rPr>
          <w:rFonts w:ascii="Calibri" w:hAnsi="Calibri" w:cs="Times New Roman"/>
          <w:sz w:val="22"/>
        </w:rPr>
        <w:t>in order to</w:t>
      </w:r>
      <w:proofErr w:type="gramEnd"/>
      <w:r w:rsidRPr="001B49FF">
        <w:rPr>
          <w:rFonts w:ascii="Calibri" w:hAnsi="Calibri" w:cs="Times New Roman"/>
          <w:sz w:val="22"/>
        </w:rPr>
        <w:t xml:space="preserve"> achieve these objectives are: </w:t>
      </w:r>
    </w:p>
    <w:p w14:paraId="482871E1" w14:textId="77777777" w:rsidR="000D3836" w:rsidRPr="001B49FF" w:rsidRDefault="000D3836" w:rsidP="004B24BB">
      <w:pPr>
        <w:pStyle w:val="BodyTextIndent"/>
        <w:spacing w:before="0" w:after="0" w:line="240" w:lineRule="auto"/>
        <w:rPr>
          <w:rFonts w:ascii="Calibri" w:hAnsi="Calibri" w:cs="Times New Roman"/>
          <w:sz w:val="22"/>
        </w:rPr>
      </w:pPr>
    </w:p>
    <w:p w14:paraId="52A5A518"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 xml:space="preserve">Regular monitoring of the performance of the fund’s investments, the overall investment </w:t>
      </w:r>
      <w:proofErr w:type="gramStart"/>
      <w:r w:rsidRPr="001B49FF">
        <w:rPr>
          <w:rFonts w:ascii="Calibri" w:hAnsi="Calibri" w:cs="Times New Roman"/>
          <w:sz w:val="22"/>
        </w:rPr>
        <w:t>mix</w:t>
      </w:r>
      <w:proofErr w:type="gramEnd"/>
      <w:r w:rsidRPr="001B49FF">
        <w:rPr>
          <w:rFonts w:ascii="Calibri" w:hAnsi="Calibri" w:cs="Times New Roman"/>
          <w:sz w:val="22"/>
        </w:rPr>
        <w:t xml:space="preserve"> and the expected cash flow requirements of the fund.</w:t>
      </w:r>
    </w:p>
    <w:p w14:paraId="37BB7A30"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Re-balancing the fund’s investment portfolio due to changes in market conditions through asset sales and new investments as appropriate.</w:t>
      </w:r>
    </w:p>
    <w:p w14:paraId="2E4B4F91" w14:textId="77777777" w:rsidR="000D3836" w:rsidRPr="001B49FF" w:rsidRDefault="000D3836" w:rsidP="004B24BB">
      <w:pPr>
        <w:spacing w:before="0" w:after="0" w:line="240" w:lineRule="auto"/>
        <w:jc w:val="both"/>
        <w:rPr>
          <w:rFonts w:ascii="Calibri" w:hAnsi="Calibri" w:cs="Times New Roman"/>
          <w:sz w:val="22"/>
        </w:rPr>
      </w:pPr>
    </w:p>
    <w:p w14:paraId="1A383622" w14:textId="77777777" w:rsidR="000D3836" w:rsidRPr="001B49FF" w:rsidRDefault="000D3836" w:rsidP="0034123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The Trustees will aim to follow the investment strategy, however, they will at all times reserve the right to change the investment mix depending on the market situation and opportunities available to better meet the objectives of the fund.</w:t>
      </w:r>
    </w:p>
    <w:p w14:paraId="798182A0" w14:textId="77777777" w:rsidR="000D3836" w:rsidRPr="001B49FF" w:rsidRDefault="000D3836" w:rsidP="004B24BB">
      <w:pPr>
        <w:spacing w:before="0" w:after="0" w:line="240" w:lineRule="auto"/>
        <w:jc w:val="both"/>
        <w:rPr>
          <w:rFonts w:ascii="Calibri" w:hAnsi="Calibri" w:cs="Times New Roman"/>
          <w:sz w:val="22"/>
        </w:rPr>
      </w:pPr>
    </w:p>
    <w:p w14:paraId="787D30E1" w14:textId="77777777" w:rsidR="000D3836" w:rsidRPr="001B49FF" w:rsidRDefault="000D3836" w:rsidP="004B24BB">
      <w:pPr>
        <w:pStyle w:val="BodyText3"/>
        <w:spacing w:before="0" w:after="0" w:line="240" w:lineRule="auto"/>
        <w:rPr>
          <w:rFonts w:ascii="Calibri" w:hAnsi="Calibri" w:cs="Times New Roman"/>
          <w:sz w:val="22"/>
          <w:szCs w:val="22"/>
        </w:rPr>
      </w:pPr>
      <w:r w:rsidRPr="001B49FF">
        <w:rPr>
          <w:rFonts w:ascii="Calibri" w:hAnsi="Calibri" w:cs="Times New Roman"/>
          <w:sz w:val="22"/>
          <w:szCs w:val="22"/>
        </w:rPr>
        <w:t>A copy of the Investment Strategy of the fund will be available to members of the fund on request.</w:t>
      </w:r>
    </w:p>
    <w:p w14:paraId="75C91235" w14:textId="77777777" w:rsidR="000D3836" w:rsidRPr="001B49FF" w:rsidRDefault="000D3836" w:rsidP="004B24BB">
      <w:pPr>
        <w:pStyle w:val="BodyText3"/>
        <w:spacing w:before="0" w:after="0" w:line="240" w:lineRule="auto"/>
        <w:rPr>
          <w:rFonts w:ascii="Calibri" w:hAnsi="Calibri" w:cs="Times New Roman"/>
          <w:sz w:val="22"/>
          <w:szCs w:val="22"/>
        </w:rPr>
      </w:pPr>
    </w:p>
    <w:p w14:paraId="3DCC7FCD" w14:textId="77777777" w:rsidR="000D3836" w:rsidRPr="001B49FF" w:rsidRDefault="000D3836" w:rsidP="009B3C89">
      <w:pPr>
        <w:spacing w:before="0" w:after="0" w:line="240" w:lineRule="auto"/>
        <w:jc w:val="both"/>
        <w:rPr>
          <w:rFonts w:ascii="Calibri" w:hAnsi="Calibri" w:cs="Times New Roman"/>
          <w:b/>
          <w:bCs w:val="0"/>
          <w:sz w:val="28"/>
          <w:szCs w:val="28"/>
        </w:rPr>
      </w:pPr>
    </w:p>
    <w:p w14:paraId="694FC1BF" w14:textId="77777777" w:rsidR="000D3836" w:rsidRPr="001B49FF" w:rsidRDefault="000D3836" w:rsidP="009B3C8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Risk profile and risk tolerance:</w:t>
      </w:r>
    </w:p>
    <w:p w14:paraId="33C8BA44" w14:textId="77777777" w:rsidR="000D3836" w:rsidRPr="001B49FF" w:rsidRDefault="000D3836" w:rsidP="009B3C89">
      <w:pPr>
        <w:pStyle w:val="BodyTextIndent"/>
        <w:spacing w:before="0" w:after="0" w:line="240" w:lineRule="auto"/>
        <w:rPr>
          <w:rFonts w:ascii="Calibri" w:hAnsi="Calibri" w:cs="Times New Roman"/>
          <w:i w:val="0"/>
          <w:sz w:val="22"/>
        </w:rPr>
      </w:pPr>
    </w:p>
    <w:p w14:paraId="369EA28A" w14:textId="1B435CAD" w:rsidR="000D3836" w:rsidRPr="00A033C6" w:rsidRDefault="000D3836" w:rsidP="009B3C89">
      <w:pPr>
        <w:pStyle w:val="BodyTextIndent"/>
        <w:spacing w:before="0" w:after="0" w:line="240" w:lineRule="auto"/>
        <w:rPr>
          <w:rFonts w:ascii="Calibri" w:hAnsi="Calibri" w:cs="Times New Roman"/>
          <w:i w:val="0"/>
          <w:sz w:val="22"/>
        </w:rPr>
      </w:pPr>
      <w:r w:rsidRPr="00A033C6">
        <w:rPr>
          <w:rFonts w:ascii="Calibri" w:hAnsi="Calibri" w:cs="Times New Roman"/>
          <w:i w:val="0"/>
          <w:sz w:val="22"/>
        </w:rPr>
        <w:t>The Fund has a long-time horizon. Further the Members wish to have a conservative asset allocation thereby limiting volatility of returns</w:t>
      </w:r>
      <w:r w:rsidR="007F0B91">
        <w:rPr>
          <w:rFonts w:ascii="Calibri" w:hAnsi="Calibri" w:cs="Times New Roman"/>
          <w:i w:val="0"/>
          <w:sz w:val="22"/>
        </w:rPr>
        <w:t xml:space="preserve"> and t</w:t>
      </w:r>
      <w:r w:rsidRPr="00A033C6">
        <w:rPr>
          <w:rFonts w:ascii="Calibri" w:hAnsi="Calibri" w:cs="Times New Roman"/>
          <w:i w:val="0"/>
          <w:sz w:val="22"/>
        </w:rPr>
        <w:t>he members have existing equity and property investments outside superannuation and are familiar with the variability of both returns and capital values which are associated with such investments.</w:t>
      </w:r>
    </w:p>
    <w:p w14:paraId="7ECE47D1" w14:textId="77777777" w:rsidR="000D3836" w:rsidRPr="001B49FF" w:rsidRDefault="000D3836" w:rsidP="009B3C89">
      <w:pPr>
        <w:pStyle w:val="BodyTextIndent"/>
        <w:spacing w:before="0" w:after="0" w:line="240" w:lineRule="auto"/>
        <w:rPr>
          <w:rFonts w:ascii="Calibri" w:hAnsi="Calibri" w:cs="Times New Roman"/>
          <w:i w:val="0"/>
          <w:sz w:val="22"/>
        </w:rPr>
      </w:pPr>
    </w:p>
    <w:p w14:paraId="4AA62C43" w14:textId="77777777" w:rsidR="000D3836" w:rsidRDefault="000D3836" w:rsidP="009B3C89">
      <w:pPr>
        <w:pStyle w:val="BodyTextIndent"/>
        <w:spacing w:before="0" w:after="0" w:line="240" w:lineRule="auto"/>
        <w:rPr>
          <w:rFonts w:ascii="Calibri" w:hAnsi="Calibri" w:cs="Times New Roman"/>
          <w:i w:val="0"/>
          <w:sz w:val="22"/>
        </w:rPr>
      </w:pPr>
    </w:p>
    <w:p w14:paraId="63FCF29C" w14:textId="77777777" w:rsidR="000D3836" w:rsidRPr="001B49FF" w:rsidRDefault="000D3836" w:rsidP="009B3C89">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Members understand </w:t>
      </w:r>
    </w:p>
    <w:p w14:paraId="79F43691"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lastRenderedPageBreak/>
        <w:t xml:space="preserve">the trade-off between investment risk and long-term capital and income growth and have indicated </w:t>
      </w:r>
      <w:r w:rsidRPr="00C12F44">
        <w:rPr>
          <w:rFonts w:ascii="Calibri" w:hAnsi="Calibri" w:cs="Times New Roman"/>
          <w:sz w:val="22"/>
        </w:rPr>
        <w:t>capital preservation &amp; stability/asset growth</w:t>
      </w:r>
      <w:r w:rsidRPr="001B49FF">
        <w:rPr>
          <w:rFonts w:ascii="Calibri" w:hAnsi="Calibri" w:cs="Times New Roman"/>
          <w:sz w:val="22"/>
        </w:rPr>
        <w:t xml:space="preserve"> is a priority</w:t>
      </w:r>
    </w:p>
    <w:p w14:paraId="28DE4819" w14:textId="77777777" w:rsidR="000D3836" w:rsidRPr="001B49FF" w:rsidRDefault="000D3836" w:rsidP="00131E9B">
      <w:pPr>
        <w:numPr>
          <w:ilvl w:val="0"/>
          <w:numId w:val="33"/>
        </w:numPr>
        <w:tabs>
          <w:tab w:val="clear" w:pos="851"/>
          <w:tab w:val="clear" w:pos="1701"/>
          <w:tab w:val="clear" w:pos="2552"/>
        </w:tabs>
        <w:spacing w:before="0" w:after="0" w:line="240" w:lineRule="auto"/>
        <w:ind w:left="567"/>
        <w:jc w:val="both"/>
        <w:rPr>
          <w:rFonts w:ascii="Calibri" w:hAnsi="Calibri" w:cs="Times New Roman"/>
          <w:sz w:val="22"/>
        </w:rPr>
      </w:pPr>
      <w:r w:rsidRPr="001B49FF">
        <w:rPr>
          <w:rFonts w:ascii="Calibri" w:hAnsi="Calibri" w:cs="Times New Roman"/>
          <w:sz w:val="22"/>
        </w:rPr>
        <w:t>Investment risk is borne by the members, as fluctuations in investment returns will affect the level of benefits available to members.</w:t>
      </w:r>
    </w:p>
    <w:p w14:paraId="72809E74" w14:textId="77777777" w:rsidR="000D3836" w:rsidRPr="001B49FF" w:rsidRDefault="000D3836" w:rsidP="00D903D6">
      <w:pPr>
        <w:tabs>
          <w:tab w:val="clear" w:pos="851"/>
          <w:tab w:val="clear" w:pos="1701"/>
          <w:tab w:val="clear" w:pos="2552"/>
        </w:tabs>
        <w:spacing w:before="0" w:after="0" w:line="240" w:lineRule="auto"/>
        <w:jc w:val="both"/>
        <w:rPr>
          <w:rFonts w:ascii="Calibri" w:hAnsi="Calibri" w:cs="Times New Roman"/>
          <w:sz w:val="22"/>
        </w:rPr>
      </w:pPr>
    </w:p>
    <w:p w14:paraId="4B4BAAE5" w14:textId="77777777" w:rsidR="000D3836" w:rsidRPr="001B49FF" w:rsidRDefault="000D3836" w:rsidP="00341236">
      <w:pPr>
        <w:tabs>
          <w:tab w:val="clear" w:pos="851"/>
          <w:tab w:val="clear" w:pos="1701"/>
          <w:tab w:val="clear" w:pos="2552"/>
        </w:tabs>
        <w:spacing w:before="0" w:after="0" w:line="240" w:lineRule="auto"/>
        <w:rPr>
          <w:rFonts w:ascii="Calibri" w:hAnsi="Calibri" w:cs="Times New Roman"/>
          <w:b/>
          <w:sz w:val="28"/>
          <w:szCs w:val="28"/>
        </w:rPr>
      </w:pPr>
    </w:p>
    <w:p w14:paraId="30E7FC9E" w14:textId="77777777" w:rsidR="000D3836" w:rsidRPr="00C12F44" w:rsidRDefault="000D3836" w:rsidP="00341236">
      <w:pPr>
        <w:tabs>
          <w:tab w:val="clear" w:pos="851"/>
          <w:tab w:val="clear" w:pos="1701"/>
          <w:tab w:val="clear" w:pos="2552"/>
        </w:tabs>
        <w:spacing w:before="0" w:after="0" w:line="240" w:lineRule="auto"/>
        <w:rPr>
          <w:rFonts w:ascii="Calibri" w:hAnsi="Calibri" w:cs="Times New Roman"/>
          <w:b/>
          <w:sz w:val="28"/>
          <w:szCs w:val="28"/>
        </w:rPr>
      </w:pPr>
      <w:r w:rsidRPr="00C12F44">
        <w:rPr>
          <w:rFonts w:ascii="Calibri" w:hAnsi="Calibri" w:cs="Times New Roman"/>
          <w:b/>
          <w:sz w:val="28"/>
          <w:szCs w:val="28"/>
        </w:rPr>
        <w:t>Geared Investments:</w:t>
      </w:r>
    </w:p>
    <w:p w14:paraId="4ED302AD" w14:textId="77777777" w:rsidR="000D3836" w:rsidRPr="001B49FF" w:rsidRDefault="000D3836" w:rsidP="00341236">
      <w:pPr>
        <w:tabs>
          <w:tab w:val="clear" w:pos="851"/>
          <w:tab w:val="clear" w:pos="1701"/>
          <w:tab w:val="clear" w:pos="2552"/>
        </w:tabs>
        <w:spacing w:before="0" w:after="0" w:line="240" w:lineRule="auto"/>
        <w:rPr>
          <w:rFonts w:ascii="Calibri" w:hAnsi="Calibri" w:cs="Times New Roman"/>
          <w:b/>
          <w:sz w:val="28"/>
          <w:szCs w:val="28"/>
        </w:rPr>
      </w:pPr>
    </w:p>
    <w:p w14:paraId="101A996B" w14:textId="77777777" w:rsidR="000D3836" w:rsidRPr="00C12F44" w:rsidRDefault="000D3836" w:rsidP="00341236">
      <w:pPr>
        <w:tabs>
          <w:tab w:val="clear" w:pos="851"/>
          <w:tab w:val="clear" w:pos="1701"/>
          <w:tab w:val="clear" w:pos="2552"/>
        </w:tabs>
        <w:spacing w:before="0" w:after="0" w:line="240" w:lineRule="auto"/>
        <w:rPr>
          <w:rFonts w:ascii="Calibri" w:hAnsi="Calibri" w:cs="Times New Roman"/>
          <w:sz w:val="22"/>
        </w:rPr>
      </w:pPr>
      <w:r w:rsidRPr="00C12F44">
        <w:rPr>
          <w:rFonts w:ascii="Calibri" w:hAnsi="Calibri" w:cs="Times New Roman"/>
          <w:sz w:val="22"/>
        </w:rPr>
        <w:t xml:space="preserve">To achieve maximum growth the </w:t>
      </w:r>
      <w:proofErr w:type="gramStart"/>
      <w:r w:rsidRPr="00C12F44">
        <w:rPr>
          <w:rFonts w:ascii="Calibri" w:hAnsi="Calibri" w:cs="Times New Roman"/>
          <w:sz w:val="22"/>
        </w:rPr>
        <w:t>trustees</w:t>
      </w:r>
      <w:proofErr w:type="gramEnd"/>
      <w:r w:rsidRPr="00C12F44">
        <w:rPr>
          <w:rFonts w:ascii="Calibri" w:hAnsi="Calibri" w:cs="Times New Roman"/>
          <w:sz w:val="22"/>
        </w:rPr>
        <w:t xml:space="preserve"> understand that acquiring commercial property with a non-recourse loan facility provided by the fund’s bankers will be assessed when geared properties opportunities became available.</w:t>
      </w:r>
    </w:p>
    <w:p w14:paraId="677C46EE" w14:textId="77777777" w:rsidR="000D3836" w:rsidRPr="001B49FF" w:rsidRDefault="000D3836" w:rsidP="00AF748E">
      <w:pPr>
        <w:pStyle w:val="BodyTextIndent"/>
        <w:spacing w:before="0" w:after="0" w:line="240" w:lineRule="auto"/>
        <w:rPr>
          <w:rFonts w:ascii="Calibri" w:hAnsi="Calibri" w:cs="Times New Roman"/>
          <w:b/>
          <w:bCs w:val="0"/>
          <w:color w:val="FF0000"/>
          <w:sz w:val="28"/>
          <w:szCs w:val="28"/>
        </w:rPr>
      </w:pPr>
    </w:p>
    <w:p w14:paraId="25BA06FB" w14:textId="77777777" w:rsidR="000D3836" w:rsidRPr="001B49FF" w:rsidRDefault="000D3836" w:rsidP="006714A9">
      <w:pPr>
        <w:spacing w:before="0" w:after="0" w:line="240" w:lineRule="auto"/>
        <w:jc w:val="both"/>
        <w:rPr>
          <w:rFonts w:ascii="Calibri" w:hAnsi="Calibri" w:cs="Times New Roman"/>
          <w:b/>
          <w:bCs w:val="0"/>
          <w:sz w:val="28"/>
          <w:szCs w:val="28"/>
        </w:rPr>
      </w:pPr>
    </w:p>
    <w:p w14:paraId="6CAAA1F3" w14:textId="77777777" w:rsidR="000D3836" w:rsidRPr="001B49FF" w:rsidRDefault="000D3836" w:rsidP="006714A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Insurance:</w:t>
      </w:r>
    </w:p>
    <w:p w14:paraId="6913CE27" w14:textId="77777777" w:rsidR="000D3836" w:rsidRPr="001B49FF" w:rsidRDefault="000D3836" w:rsidP="006714A9">
      <w:pPr>
        <w:pStyle w:val="BodyTextIndent"/>
        <w:spacing w:before="0" w:after="0" w:line="240" w:lineRule="auto"/>
        <w:rPr>
          <w:rFonts w:ascii="Calibri" w:hAnsi="Calibri" w:cs="Times New Roman"/>
          <w:i w:val="0"/>
          <w:sz w:val="22"/>
        </w:rPr>
      </w:pPr>
    </w:p>
    <w:p w14:paraId="37D89725" w14:textId="77777777" w:rsidR="000D3836" w:rsidRDefault="000D3836" w:rsidP="00C12F44">
      <w:pPr>
        <w:spacing w:before="0" w:after="0" w:line="240" w:lineRule="auto"/>
        <w:jc w:val="both"/>
        <w:rPr>
          <w:rFonts w:ascii="Calibri" w:hAnsi="Calibri" w:cs="Times New Roman"/>
          <w:color w:val="FF0000"/>
          <w:sz w:val="22"/>
        </w:rPr>
      </w:pPr>
      <w:r w:rsidRPr="001B49FF">
        <w:rPr>
          <w:rFonts w:ascii="Calibri" w:hAnsi="Calibri" w:cs="Times New Roman"/>
          <w:sz w:val="22"/>
        </w:rPr>
        <w:t xml:space="preserve">The Trustees have considered whether the Fund should hold a contract of insurance for its members and concluded that: </w:t>
      </w:r>
    </w:p>
    <w:p w14:paraId="0B2B2C47" w14:textId="77777777" w:rsidR="000D3836" w:rsidRPr="00C12F44" w:rsidRDefault="000D3836" w:rsidP="00C12F44">
      <w:pPr>
        <w:spacing w:before="0" w:after="0" w:line="240" w:lineRule="auto"/>
        <w:jc w:val="both"/>
        <w:rPr>
          <w:rFonts w:ascii="Calibri" w:hAnsi="Calibri" w:cs="Times New Roman"/>
          <w:sz w:val="22"/>
        </w:rPr>
      </w:pPr>
      <w:r w:rsidRPr="00C12F44">
        <w:rPr>
          <w:rFonts w:ascii="Calibri" w:hAnsi="Calibri" w:cs="Times New Roman"/>
          <w:sz w:val="22"/>
        </w:rPr>
        <w:t>The object of the fund is to provide life insurance protection for members prior to retirement in the event of death or disability.</w:t>
      </w:r>
      <w:r>
        <w:rPr>
          <w:rFonts w:ascii="Calibri" w:hAnsi="Calibri" w:cs="Times New Roman"/>
          <w:sz w:val="22"/>
        </w:rPr>
        <w:t xml:space="preserve"> The accountants of the fund have provided a Group Life Facility of a maximum cover of seven times recognised compensation. These premiums will be provided on a wholesale cost basis to superannuation fund clients of the Pearson Group and will be made available on a non-medical basis.</w:t>
      </w:r>
    </w:p>
    <w:p w14:paraId="124E5E5C" w14:textId="77777777" w:rsidR="000D3836" w:rsidRPr="001B49FF" w:rsidRDefault="000D3836" w:rsidP="00AF748E">
      <w:pPr>
        <w:spacing w:before="0" w:after="0" w:line="240" w:lineRule="auto"/>
        <w:jc w:val="both"/>
        <w:rPr>
          <w:rFonts w:ascii="Calibri" w:hAnsi="Calibri" w:cs="Times New Roman"/>
          <w:b/>
          <w:bCs w:val="0"/>
          <w:sz w:val="28"/>
          <w:szCs w:val="28"/>
        </w:rPr>
      </w:pPr>
    </w:p>
    <w:p w14:paraId="6386BC99" w14:textId="77777777" w:rsidR="000D3836" w:rsidRPr="001B49FF" w:rsidRDefault="000D3836" w:rsidP="00AF748E">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Liquidity:</w:t>
      </w:r>
    </w:p>
    <w:p w14:paraId="42FE16DE" w14:textId="77777777" w:rsidR="000D3836" w:rsidRPr="001B49FF" w:rsidRDefault="000D3836" w:rsidP="00AF748E">
      <w:pPr>
        <w:pStyle w:val="BodyTextIndent"/>
        <w:spacing w:before="0" w:after="0" w:line="240" w:lineRule="auto"/>
        <w:rPr>
          <w:rFonts w:ascii="Calibri" w:hAnsi="Calibri" w:cs="Times New Roman"/>
          <w:sz w:val="22"/>
        </w:rPr>
      </w:pPr>
    </w:p>
    <w:p w14:paraId="28C021F5" w14:textId="44BE72F5" w:rsidR="000D3836" w:rsidRPr="001B49FF" w:rsidRDefault="000D3836" w:rsidP="00774650">
      <w:pPr>
        <w:rPr>
          <w:rFonts w:ascii="Calibri" w:hAnsi="Calibri" w:cs="Times New Roman"/>
          <w:sz w:val="22"/>
        </w:rPr>
      </w:pPr>
      <w:r w:rsidRPr="001B49FF">
        <w:rPr>
          <w:rFonts w:ascii="Calibri" w:hAnsi="Calibri" w:cs="Times New Roman"/>
          <w:sz w:val="22"/>
        </w:rPr>
        <w:t xml:space="preserve">The Members of the fund have </w:t>
      </w:r>
      <w:r>
        <w:rPr>
          <w:rFonts w:ascii="Calibri" w:hAnsi="Calibri" w:cs="Times New Roman"/>
          <w:sz w:val="22"/>
        </w:rPr>
        <w:t>substantial</w:t>
      </w:r>
      <w:r w:rsidRPr="001B49FF">
        <w:rPr>
          <w:rFonts w:ascii="Calibri" w:hAnsi="Calibri" w:cs="Times New Roman"/>
          <w:sz w:val="22"/>
        </w:rPr>
        <w:t xml:space="preserve"> assets outside of superannuation. At the present time neither expect to access their superannuation prior to age </w:t>
      </w:r>
      <w:r w:rsidRPr="00C12F44">
        <w:rPr>
          <w:rFonts w:ascii="Calibri" w:hAnsi="Calibri" w:cs="Times New Roman"/>
          <w:sz w:val="22"/>
        </w:rPr>
        <w:t>65</w:t>
      </w:r>
      <w:r w:rsidRPr="001B49FF">
        <w:rPr>
          <w:rFonts w:ascii="Calibri" w:hAnsi="Calibri" w:cs="Times New Roman"/>
          <w:sz w:val="22"/>
        </w:rPr>
        <w:t xml:space="preserve">. Accordingly, there is no anticipated benefit payment in the next </w:t>
      </w:r>
      <w:r w:rsidR="00442FB7">
        <w:rPr>
          <w:rFonts w:ascii="Calibri" w:hAnsi="Calibri" w:cs="Times New Roman"/>
          <w:sz w:val="22"/>
        </w:rPr>
        <w:t>1</w:t>
      </w:r>
      <w:r>
        <w:rPr>
          <w:rFonts w:ascii="Calibri" w:hAnsi="Calibri" w:cs="Times New Roman"/>
          <w:sz w:val="22"/>
        </w:rPr>
        <w:t>0</w:t>
      </w:r>
      <w:r w:rsidRPr="001B49FF">
        <w:rPr>
          <w:rFonts w:ascii="Calibri" w:hAnsi="Calibri" w:cs="Times New Roman"/>
          <w:color w:val="FF0000"/>
          <w:sz w:val="22"/>
        </w:rPr>
        <w:t xml:space="preserve"> </w:t>
      </w:r>
      <w:r w:rsidRPr="001B49FF">
        <w:rPr>
          <w:rFonts w:ascii="Calibri" w:hAnsi="Calibri" w:cs="Times New Roman"/>
          <w:sz w:val="22"/>
        </w:rPr>
        <w:t xml:space="preserve">years.  Cash </w:t>
      </w:r>
      <w:proofErr w:type="gramStart"/>
      <w:r w:rsidRPr="001B49FF">
        <w:rPr>
          <w:rFonts w:ascii="Calibri" w:hAnsi="Calibri" w:cs="Times New Roman"/>
          <w:sz w:val="22"/>
        </w:rPr>
        <w:t>in excess of</w:t>
      </w:r>
      <w:proofErr w:type="gramEnd"/>
      <w:r w:rsidRPr="001B49FF">
        <w:rPr>
          <w:rFonts w:ascii="Calibri" w:hAnsi="Calibri" w:cs="Times New Roman"/>
          <w:sz w:val="22"/>
        </w:rPr>
        <w:t xml:space="preserve"> anticipated liquidity requirement will be invested in accordance with the Fund’s investment strategy. </w:t>
      </w:r>
    </w:p>
    <w:p w14:paraId="6DE38FA4" w14:textId="77777777" w:rsidR="000D3836" w:rsidRPr="001B49FF" w:rsidRDefault="000D3836" w:rsidP="00F15759">
      <w:pPr>
        <w:spacing w:before="0" w:after="0" w:line="240" w:lineRule="auto"/>
        <w:jc w:val="both"/>
        <w:rPr>
          <w:rFonts w:ascii="Calibri" w:hAnsi="Calibri" w:cs="Times New Roman"/>
          <w:b/>
          <w:bCs w:val="0"/>
          <w:sz w:val="28"/>
          <w:szCs w:val="28"/>
        </w:rPr>
      </w:pPr>
    </w:p>
    <w:p w14:paraId="4E0A6609" w14:textId="77777777" w:rsidR="000D3836" w:rsidRPr="001B49FF" w:rsidRDefault="000D3836" w:rsidP="00F15759">
      <w:pPr>
        <w:spacing w:before="0" w:after="0" w:line="240" w:lineRule="auto"/>
        <w:jc w:val="both"/>
        <w:rPr>
          <w:rFonts w:ascii="Calibri" w:hAnsi="Calibri" w:cs="Times New Roman"/>
          <w:b/>
          <w:bCs w:val="0"/>
          <w:sz w:val="28"/>
          <w:szCs w:val="28"/>
        </w:rPr>
      </w:pPr>
    </w:p>
    <w:p w14:paraId="7FF950FD" w14:textId="77777777" w:rsidR="000D3836" w:rsidRPr="001B49FF" w:rsidRDefault="000D3836" w:rsidP="00F15759">
      <w:pPr>
        <w:spacing w:before="0" w:after="0" w:line="240" w:lineRule="auto"/>
        <w:jc w:val="both"/>
        <w:rPr>
          <w:rFonts w:ascii="Calibri" w:hAnsi="Calibri" w:cs="Times New Roman"/>
          <w:b/>
          <w:bCs w:val="0"/>
          <w:sz w:val="28"/>
          <w:szCs w:val="28"/>
        </w:rPr>
      </w:pPr>
      <w:r w:rsidRPr="001B49FF">
        <w:rPr>
          <w:rFonts w:ascii="Calibri" w:hAnsi="Calibri" w:cs="Times New Roman"/>
          <w:b/>
          <w:bCs w:val="0"/>
          <w:sz w:val="28"/>
          <w:szCs w:val="28"/>
        </w:rPr>
        <w:t>Asset Allocation:</w:t>
      </w:r>
    </w:p>
    <w:p w14:paraId="1AA5056E" w14:textId="77777777" w:rsidR="000D3836" w:rsidRPr="001B49FF" w:rsidRDefault="000D3836" w:rsidP="00F15759">
      <w:pPr>
        <w:pStyle w:val="BodyTextIndent"/>
        <w:spacing w:before="0" w:after="0" w:line="240" w:lineRule="auto"/>
        <w:rPr>
          <w:rFonts w:ascii="Calibri" w:hAnsi="Calibri" w:cs="Times New Roman"/>
          <w:sz w:val="22"/>
        </w:rPr>
      </w:pPr>
    </w:p>
    <w:p w14:paraId="47CE08D4" w14:textId="77777777" w:rsidR="000D3836" w:rsidRPr="006F5E3A" w:rsidRDefault="000D3836"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targeted asset allocation will recognise the need to have a diversified asset mix, however, given the long term investment horizon of the members (of up to </w:t>
      </w:r>
      <w:r>
        <w:rPr>
          <w:rFonts w:ascii="Calibri" w:hAnsi="Calibri" w:cs="Times New Roman"/>
          <w:i w:val="0"/>
          <w:sz w:val="22"/>
        </w:rPr>
        <w:t>20</w:t>
      </w:r>
      <w:r w:rsidRPr="001B49FF">
        <w:rPr>
          <w:rFonts w:ascii="Calibri" w:hAnsi="Calibri" w:cs="Times New Roman"/>
          <w:i w:val="0"/>
          <w:sz w:val="22"/>
        </w:rPr>
        <w:t xml:space="preserve">years until life expectancy) the allocation will have </w:t>
      </w:r>
      <w:r>
        <w:rPr>
          <w:rFonts w:ascii="Calibri" w:hAnsi="Calibri" w:cs="Times New Roman"/>
          <w:i w:val="0"/>
          <w:sz w:val="22"/>
        </w:rPr>
        <w:t>a strong</w:t>
      </w:r>
      <w:r w:rsidRPr="001B49FF">
        <w:rPr>
          <w:rFonts w:ascii="Calibri" w:hAnsi="Calibri" w:cs="Times New Roman"/>
          <w:i w:val="0"/>
          <w:sz w:val="22"/>
        </w:rPr>
        <w:t xml:space="preserve"> asset bias and be focused on </w:t>
      </w:r>
      <w:r w:rsidRPr="006F5E3A">
        <w:rPr>
          <w:rFonts w:ascii="Calibri" w:hAnsi="Calibri" w:cs="Times New Roman"/>
          <w:i w:val="0"/>
          <w:sz w:val="22"/>
        </w:rPr>
        <w:t>maximising capital growth/preserving capital/ensuring capital stability</w:t>
      </w:r>
      <w:r>
        <w:rPr>
          <w:rFonts w:ascii="Calibri" w:hAnsi="Calibri" w:cs="Times New Roman"/>
          <w:i w:val="0"/>
          <w:sz w:val="22"/>
        </w:rPr>
        <w:t xml:space="preserve">. On </w:t>
      </w:r>
      <w:proofErr w:type="spellStart"/>
      <w:proofErr w:type="gramStart"/>
      <w:r>
        <w:rPr>
          <w:rFonts w:ascii="Calibri" w:hAnsi="Calibri" w:cs="Times New Roman"/>
          <w:i w:val="0"/>
          <w:sz w:val="22"/>
        </w:rPr>
        <w:t>advise</w:t>
      </w:r>
      <w:proofErr w:type="spellEnd"/>
      <w:proofErr w:type="gramEnd"/>
      <w:r>
        <w:rPr>
          <w:rFonts w:ascii="Calibri" w:hAnsi="Calibri" w:cs="Times New Roman"/>
          <w:i w:val="0"/>
          <w:sz w:val="22"/>
        </w:rPr>
        <w:t xml:space="preserve"> from Ord </w:t>
      </w:r>
      <w:proofErr w:type="spellStart"/>
      <w:r>
        <w:rPr>
          <w:rFonts w:ascii="Calibri" w:hAnsi="Calibri" w:cs="Times New Roman"/>
          <w:i w:val="0"/>
          <w:sz w:val="22"/>
        </w:rPr>
        <w:t>Minnett</w:t>
      </w:r>
      <w:proofErr w:type="spellEnd"/>
      <w:r>
        <w:rPr>
          <w:rFonts w:ascii="Calibri" w:hAnsi="Calibri" w:cs="Times New Roman"/>
          <w:i w:val="0"/>
          <w:sz w:val="22"/>
        </w:rPr>
        <w:t xml:space="preserve"> stockbrokers.</w:t>
      </w:r>
    </w:p>
    <w:p w14:paraId="46358BE0" w14:textId="77777777" w:rsidR="000D3836" w:rsidRPr="001B49FF" w:rsidRDefault="000D3836" w:rsidP="00062506">
      <w:pPr>
        <w:pStyle w:val="BodyTextIndent"/>
        <w:spacing w:before="0" w:after="0" w:line="240" w:lineRule="auto"/>
        <w:rPr>
          <w:rFonts w:ascii="Calibri" w:hAnsi="Calibri" w:cs="Times New Roman"/>
          <w:i w:val="0"/>
          <w:sz w:val="22"/>
        </w:rPr>
      </w:pPr>
    </w:p>
    <w:p w14:paraId="0F43E892" w14:textId="77777777" w:rsidR="000D3836" w:rsidRPr="006F5E3A" w:rsidRDefault="000D3836" w:rsidP="00062506">
      <w:pPr>
        <w:pStyle w:val="BodyTextIndent"/>
        <w:spacing w:before="0" w:after="0" w:line="240" w:lineRule="auto"/>
        <w:rPr>
          <w:rFonts w:ascii="Calibri" w:hAnsi="Calibri" w:cs="Times New Roman"/>
          <w:i w:val="0"/>
          <w:sz w:val="22"/>
        </w:rPr>
      </w:pPr>
      <w:r w:rsidRPr="006F5E3A">
        <w:rPr>
          <w:rFonts w:ascii="Calibri" w:hAnsi="Calibri" w:cs="Times New Roman"/>
          <w:i w:val="0"/>
          <w:sz w:val="22"/>
        </w:rPr>
        <w:t xml:space="preserve">The Trustees recognise the higher risk in investing predominantly in growth assets and the volatility associated with shares and property.  The volatility will be compensated by the prospect of achieving higher returns and growth in the longer term.  </w:t>
      </w:r>
      <w:proofErr w:type="gramStart"/>
      <w:r w:rsidRPr="006F5E3A">
        <w:rPr>
          <w:rFonts w:ascii="Calibri" w:hAnsi="Calibri" w:cs="Times New Roman"/>
          <w:i w:val="0"/>
          <w:sz w:val="22"/>
        </w:rPr>
        <w:t>In order to</w:t>
      </w:r>
      <w:proofErr w:type="gramEnd"/>
      <w:r w:rsidRPr="006F5E3A">
        <w:rPr>
          <w:rFonts w:ascii="Calibri" w:hAnsi="Calibri" w:cs="Times New Roman"/>
          <w:i w:val="0"/>
          <w:sz w:val="22"/>
        </w:rPr>
        <w:t xml:space="preserve"> minimise this risk Trustees will consider investing in different industries and sectors where possible.</w:t>
      </w:r>
    </w:p>
    <w:p w14:paraId="3B3DD480" w14:textId="77777777" w:rsidR="000D3836" w:rsidRPr="006F5E3A" w:rsidRDefault="000D3836" w:rsidP="00062506">
      <w:pPr>
        <w:pStyle w:val="BodyTextIndent"/>
        <w:spacing w:before="0" w:after="0" w:line="240" w:lineRule="auto"/>
        <w:rPr>
          <w:rFonts w:ascii="Calibri" w:hAnsi="Calibri" w:cs="Times New Roman"/>
          <w:i w:val="0"/>
          <w:sz w:val="22"/>
        </w:rPr>
      </w:pPr>
    </w:p>
    <w:p w14:paraId="4E0DF376" w14:textId="77777777" w:rsidR="000D3836" w:rsidRPr="001B49FF" w:rsidRDefault="000D3836" w:rsidP="00062506">
      <w:pPr>
        <w:pStyle w:val="BodyTextIndent"/>
        <w:spacing w:before="0" w:after="0" w:line="240" w:lineRule="auto"/>
        <w:rPr>
          <w:rFonts w:ascii="Calibri" w:hAnsi="Calibri" w:cs="Times New Roman"/>
          <w:i w:val="0"/>
          <w:sz w:val="22"/>
        </w:rPr>
      </w:pPr>
      <w:r w:rsidRPr="001B49FF">
        <w:rPr>
          <w:rFonts w:ascii="Calibri" w:hAnsi="Calibri" w:cs="Times New Roman"/>
          <w:i w:val="0"/>
          <w:sz w:val="22"/>
        </w:rPr>
        <w:t xml:space="preserve">The final targeted asset allocation will be in the following ranges: </w:t>
      </w:r>
    </w:p>
    <w:p w14:paraId="0841E238" w14:textId="77777777" w:rsidR="000D3836" w:rsidRPr="006F5E3A" w:rsidRDefault="000D3836" w:rsidP="00062506">
      <w:pPr>
        <w:pStyle w:val="BodyTextIndent"/>
        <w:spacing w:before="0" w:after="0" w:line="240" w:lineRule="auto"/>
        <w:rPr>
          <w:rFonts w:ascii="Calibri" w:hAnsi="Calibri" w:cs="Times New Roman"/>
          <w:i w:val="0"/>
          <w:sz w:val="22"/>
        </w:rPr>
      </w:pPr>
      <w:proofErr w:type="gramStart"/>
      <w:r w:rsidRPr="006F5E3A">
        <w:rPr>
          <w:rFonts w:ascii="Calibri" w:hAnsi="Calibri" w:cs="Times New Roman"/>
          <w:i w:val="0"/>
          <w:sz w:val="22"/>
        </w:rPr>
        <w:t>Note :</w:t>
      </w:r>
      <w:proofErr w:type="gramEnd"/>
      <w:r w:rsidRPr="006F5E3A">
        <w:rPr>
          <w:rFonts w:ascii="Calibri" w:hAnsi="Calibri" w:cs="Times New Roman"/>
          <w:i w:val="0"/>
          <w:sz w:val="22"/>
        </w:rPr>
        <w:t xml:space="preserve"> whilst a table with numeric asset allocation ranges or target is not a legislative requirements it is a simple and clear way for the Trustees to describe the fund’s investment objectives. In the table below the </w:t>
      </w:r>
      <w:r w:rsidRPr="006F5E3A">
        <w:rPr>
          <w:rFonts w:ascii="Calibri" w:hAnsi="Calibri" w:cs="Times New Roman"/>
          <w:i w:val="0"/>
          <w:sz w:val="22"/>
        </w:rPr>
        <w:lastRenderedPageBreak/>
        <w:t xml:space="preserve">“Long term range” allows for normal market fluctuations and periods when the fund may have limited exposure to a particular asset class. The “Current target” provides an indication of the fund’s planned investment allocation over the next </w:t>
      </w:r>
      <w:proofErr w:type="gramStart"/>
      <w:r w:rsidRPr="006F5E3A">
        <w:rPr>
          <w:rFonts w:ascii="Calibri" w:hAnsi="Calibri" w:cs="Times New Roman"/>
          <w:i w:val="0"/>
          <w:sz w:val="22"/>
        </w:rPr>
        <w:t>6-12 month</w:t>
      </w:r>
      <w:proofErr w:type="gramEnd"/>
      <w:r w:rsidRPr="006F5E3A">
        <w:rPr>
          <w:rFonts w:ascii="Calibri" w:hAnsi="Calibri" w:cs="Times New Roman"/>
          <w:i w:val="0"/>
          <w:sz w:val="22"/>
        </w:rPr>
        <w:t xml:space="preserve"> period. In the absence of some form of table with indicative asset allocation ranges we (as auditors) would look for a broad statement as to preferred asset classes and mix </w:t>
      </w:r>
      <w:proofErr w:type="spellStart"/>
      <w:r w:rsidRPr="006F5E3A">
        <w:rPr>
          <w:rFonts w:ascii="Calibri" w:hAnsi="Calibri" w:cs="Times New Roman"/>
          <w:i w:val="0"/>
          <w:sz w:val="22"/>
        </w:rPr>
        <w:t>eg.</w:t>
      </w:r>
      <w:proofErr w:type="spellEnd"/>
      <w:r w:rsidRPr="006F5E3A">
        <w:rPr>
          <w:rFonts w:ascii="Calibri" w:hAnsi="Calibri" w:cs="Times New Roman"/>
          <w:i w:val="0"/>
          <w:sz w:val="22"/>
        </w:rPr>
        <w:t xml:space="preserve"> </w:t>
      </w:r>
      <w:r w:rsidRPr="006F5E3A">
        <w:rPr>
          <w:rFonts w:ascii="Calibri" w:hAnsi="Calibri" w:cs="Times New Roman"/>
          <w:sz w:val="22"/>
        </w:rPr>
        <w:t>“The fund will have a strong bias towards a diversified mix of listed Australian shares paying fully franked dividends with $xx cash held to meet liquidity requirements in both cash accounts and term deposits”.</w:t>
      </w:r>
    </w:p>
    <w:p w14:paraId="6290247B" w14:textId="77777777" w:rsidR="000D3836" w:rsidRPr="001B49FF" w:rsidRDefault="000D3836" w:rsidP="00062506">
      <w:pPr>
        <w:pStyle w:val="BodyTextIndent"/>
        <w:spacing w:before="0" w:after="0" w:line="240" w:lineRule="auto"/>
        <w:rPr>
          <w:rFonts w:ascii="Calibri" w:hAnsi="Calibri" w:cs="Times New Roman"/>
          <w:i w:val="0"/>
          <w:sz w:val="22"/>
        </w:rPr>
      </w:pPr>
    </w:p>
    <w:p w14:paraId="4ED46DFB" w14:textId="77777777" w:rsidR="000D3836" w:rsidRPr="001B49FF" w:rsidRDefault="000D3836" w:rsidP="00062506">
      <w:pPr>
        <w:pStyle w:val="BodyTextIndent"/>
        <w:spacing w:before="0" w:after="0" w:line="240" w:lineRule="auto"/>
        <w:ind w:left="2160"/>
        <w:rPr>
          <w:rFonts w:ascii="Calibri" w:hAnsi="Calibri" w:cs="Times New Roman"/>
          <w:i w:val="0"/>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2410"/>
        <w:gridCol w:w="2165"/>
      </w:tblGrid>
      <w:tr w:rsidR="000D3836" w:rsidRPr="001B49FF" w14:paraId="5911C712" w14:textId="77777777" w:rsidTr="009B4C13">
        <w:tc>
          <w:tcPr>
            <w:tcW w:w="4786" w:type="dxa"/>
            <w:shd w:val="clear" w:color="auto" w:fill="auto"/>
          </w:tcPr>
          <w:p w14:paraId="468C1438" w14:textId="77777777" w:rsidR="000D3836" w:rsidRPr="001B49FF" w:rsidRDefault="000D3836" w:rsidP="00886353">
            <w:pPr>
              <w:pStyle w:val="BodyTextIndent"/>
              <w:spacing w:before="0" w:after="0" w:line="240" w:lineRule="auto"/>
              <w:rPr>
                <w:rFonts w:ascii="Calibri" w:hAnsi="Calibri" w:cs="Times New Roman"/>
                <w:b/>
                <w:i w:val="0"/>
                <w:sz w:val="22"/>
              </w:rPr>
            </w:pPr>
            <w:r w:rsidRPr="001B49FF">
              <w:rPr>
                <w:rFonts w:ascii="Calibri" w:hAnsi="Calibri" w:cs="Times New Roman"/>
                <w:b/>
                <w:i w:val="0"/>
                <w:sz w:val="22"/>
              </w:rPr>
              <w:t>Growth Assets</w:t>
            </w:r>
          </w:p>
        </w:tc>
        <w:tc>
          <w:tcPr>
            <w:tcW w:w="2410" w:type="dxa"/>
            <w:shd w:val="clear" w:color="auto" w:fill="auto"/>
          </w:tcPr>
          <w:p w14:paraId="06F0809D" w14:textId="77777777" w:rsidR="000D3836" w:rsidRPr="001B49FF" w:rsidRDefault="000D3836"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Long term range</w:t>
            </w:r>
          </w:p>
        </w:tc>
        <w:tc>
          <w:tcPr>
            <w:tcW w:w="2165" w:type="dxa"/>
            <w:shd w:val="clear" w:color="auto" w:fill="auto"/>
          </w:tcPr>
          <w:p w14:paraId="5382B976" w14:textId="77777777" w:rsidR="000D3836" w:rsidRPr="001B49FF" w:rsidRDefault="000D3836"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Current target</w:t>
            </w:r>
          </w:p>
        </w:tc>
      </w:tr>
      <w:tr w:rsidR="000D3836" w:rsidRPr="001B49FF" w14:paraId="40CD2B98" w14:textId="77777777" w:rsidTr="009B4C13">
        <w:tc>
          <w:tcPr>
            <w:tcW w:w="4786" w:type="dxa"/>
            <w:shd w:val="clear" w:color="auto" w:fill="auto"/>
          </w:tcPr>
          <w:p w14:paraId="1A0EEA43" w14:textId="77777777" w:rsidR="000D3836" w:rsidRPr="001B49FF" w:rsidRDefault="000D3836" w:rsidP="00646472">
            <w:pPr>
              <w:pStyle w:val="BodyTextIndent"/>
              <w:spacing w:before="0" w:after="0" w:line="240" w:lineRule="auto"/>
              <w:ind w:left="720"/>
              <w:rPr>
                <w:rFonts w:ascii="Calibri" w:hAnsi="Calibri" w:cs="Times New Roman"/>
                <w:i w:val="0"/>
                <w:sz w:val="22"/>
              </w:rPr>
            </w:pPr>
          </w:p>
        </w:tc>
        <w:tc>
          <w:tcPr>
            <w:tcW w:w="2410" w:type="dxa"/>
            <w:shd w:val="clear" w:color="auto" w:fill="auto"/>
          </w:tcPr>
          <w:p w14:paraId="493DD552" w14:textId="77777777" w:rsidR="000D3836" w:rsidRPr="006F5E3A" w:rsidRDefault="000D3836"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642D817B" w14:textId="77777777" w:rsidR="000D3836" w:rsidRPr="006F5E3A" w:rsidRDefault="000D3836" w:rsidP="00886353">
            <w:pPr>
              <w:pStyle w:val="BodyTextIndent"/>
              <w:spacing w:before="0" w:after="0" w:line="240" w:lineRule="auto"/>
              <w:jc w:val="center"/>
              <w:rPr>
                <w:rFonts w:ascii="Calibri" w:hAnsi="Calibri" w:cs="Times New Roman"/>
                <w:i w:val="0"/>
                <w:sz w:val="22"/>
              </w:rPr>
            </w:pPr>
          </w:p>
        </w:tc>
      </w:tr>
      <w:tr w:rsidR="000D3836" w:rsidRPr="001B49FF" w14:paraId="2E8CFFFC" w14:textId="77777777" w:rsidTr="009B4C13">
        <w:tc>
          <w:tcPr>
            <w:tcW w:w="4786" w:type="dxa"/>
            <w:shd w:val="clear" w:color="auto" w:fill="auto"/>
          </w:tcPr>
          <w:p w14:paraId="1A0E2CE1" w14:textId="77777777" w:rsidR="000D3836" w:rsidRPr="001B49FF" w:rsidRDefault="000D3836" w:rsidP="00886353">
            <w:pPr>
              <w:pStyle w:val="BodyTextIndent"/>
              <w:numPr>
                <w:ilvl w:val="0"/>
                <w:numId w:val="34"/>
              </w:numPr>
              <w:spacing w:before="0" w:after="0" w:line="240" w:lineRule="auto"/>
              <w:rPr>
                <w:rFonts w:ascii="Calibri" w:hAnsi="Calibri" w:cs="Times New Roman"/>
                <w:i w:val="0"/>
                <w:sz w:val="22"/>
              </w:rPr>
            </w:pPr>
            <w:r w:rsidRPr="001B49FF">
              <w:rPr>
                <w:rFonts w:ascii="Calibri" w:hAnsi="Calibri" w:cs="Times New Roman"/>
                <w:i w:val="0"/>
                <w:sz w:val="22"/>
              </w:rPr>
              <w:t>Australian listed equities</w:t>
            </w:r>
          </w:p>
        </w:tc>
        <w:tc>
          <w:tcPr>
            <w:tcW w:w="2410" w:type="dxa"/>
            <w:shd w:val="clear" w:color="auto" w:fill="auto"/>
          </w:tcPr>
          <w:p w14:paraId="2CDC723B" w14:textId="6B019DB1" w:rsidR="000D3836" w:rsidRPr="006F5E3A" w:rsidRDefault="007A7E45"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5</w:t>
            </w:r>
            <w:r w:rsidR="000D3836">
              <w:rPr>
                <w:rFonts w:ascii="Calibri" w:hAnsi="Calibri" w:cs="Times New Roman"/>
                <w:i w:val="0"/>
                <w:sz w:val="22"/>
              </w:rPr>
              <w:t>-</w:t>
            </w:r>
            <w:r>
              <w:rPr>
                <w:rFonts w:ascii="Calibri" w:hAnsi="Calibri" w:cs="Times New Roman"/>
                <w:i w:val="0"/>
                <w:sz w:val="22"/>
              </w:rPr>
              <w:t>2</w:t>
            </w:r>
            <w:r w:rsidR="000D3836" w:rsidRPr="006F5E3A">
              <w:rPr>
                <w:rFonts w:ascii="Calibri" w:hAnsi="Calibri" w:cs="Times New Roman"/>
                <w:i w:val="0"/>
                <w:sz w:val="22"/>
              </w:rPr>
              <w:t>0%</w:t>
            </w:r>
          </w:p>
        </w:tc>
        <w:tc>
          <w:tcPr>
            <w:tcW w:w="2165" w:type="dxa"/>
            <w:shd w:val="clear" w:color="auto" w:fill="auto"/>
          </w:tcPr>
          <w:p w14:paraId="201707A5" w14:textId="4CACED1D" w:rsidR="000D3836" w:rsidRPr="006F5E3A" w:rsidRDefault="00ED54E7"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0</w:t>
            </w:r>
            <w:r w:rsidR="000D3836" w:rsidRPr="006F5E3A">
              <w:rPr>
                <w:rFonts w:ascii="Calibri" w:hAnsi="Calibri" w:cs="Times New Roman"/>
                <w:i w:val="0"/>
                <w:sz w:val="22"/>
              </w:rPr>
              <w:t>%</w:t>
            </w:r>
          </w:p>
        </w:tc>
      </w:tr>
      <w:tr w:rsidR="000D3836" w:rsidRPr="001B49FF" w14:paraId="41B8E310" w14:textId="77777777" w:rsidTr="009B4C13">
        <w:tc>
          <w:tcPr>
            <w:tcW w:w="4786" w:type="dxa"/>
            <w:shd w:val="clear" w:color="auto" w:fill="auto"/>
          </w:tcPr>
          <w:p w14:paraId="7245457A" w14:textId="6E816428" w:rsidR="000D3836" w:rsidRPr="001B49FF" w:rsidRDefault="007F0B91" w:rsidP="00886353">
            <w:pPr>
              <w:pStyle w:val="BodyTextIndent"/>
              <w:numPr>
                <w:ilvl w:val="0"/>
                <w:numId w:val="34"/>
              </w:numPr>
              <w:spacing w:before="0" w:after="0" w:line="240" w:lineRule="auto"/>
              <w:rPr>
                <w:rFonts w:ascii="Calibri" w:hAnsi="Calibri" w:cs="Times New Roman"/>
                <w:i w:val="0"/>
                <w:sz w:val="22"/>
              </w:rPr>
            </w:pPr>
            <w:r>
              <w:rPr>
                <w:rFonts w:ascii="Calibri" w:hAnsi="Calibri" w:cs="Times New Roman"/>
                <w:i w:val="0"/>
                <w:sz w:val="22"/>
              </w:rPr>
              <w:t xml:space="preserve">Unlisted </w:t>
            </w:r>
            <w:r w:rsidR="000D3836" w:rsidRPr="001B49FF">
              <w:rPr>
                <w:rFonts w:ascii="Calibri" w:hAnsi="Calibri" w:cs="Times New Roman"/>
                <w:i w:val="0"/>
                <w:sz w:val="22"/>
              </w:rPr>
              <w:t>equities</w:t>
            </w:r>
            <w:r>
              <w:rPr>
                <w:rFonts w:ascii="Calibri" w:hAnsi="Calibri" w:cs="Times New Roman"/>
                <w:i w:val="0"/>
                <w:sz w:val="22"/>
              </w:rPr>
              <w:t xml:space="preserve"> and trusts</w:t>
            </w:r>
          </w:p>
        </w:tc>
        <w:tc>
          <w:tcPr>
            <w:tcW w:w="2410" w:type="dxa"/>
            <w:shd w:val="clear" w:color="auto" w:fill="auto"/>
          </w:tcPr>
          <w:p w14:paraId="66875ED7" w14:textId="5B4299FB" w:rsidR="000D3836" w:rsidRPr="006F5E3A" w:rsidRDefault="007A7E45"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5-10</w:t>
            </w:r>
            <w:r w:rsidR="000D3836">
              <w:rPr>
                <w:rFonts w:ascii="Calibri" w:hAnsi="Calibri" w:cs="Times New Roman"/>
                <w:i w:val="0"/>
                <w:sz w:val="22"/>
              </w:rPr>
              <w:t>%</w:t>
            </w:r>
          </w:p>
        </w:tc>
        <w:tc>
          <w:tcPr>
            <w:tcW w:w="2165" w:type="dxa"/>
            <w:shd w:val="clear" w:color="auto" w:fill="auto"/>
          </w:tcPr>
          <w:p w14:paraId="724E5251" w14:textId="3F57188B" w:rsidR="000D3836" w:rsidRPr="006F5E3A" w:rsidRDefault="007A7E45"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5-10%</w:t>
            </w:r>
          </w:p>
        </w:tc>
      </w:tr>
      <w:tr w:rsidR="000D3836" w:rsidRPr="001B49FF" w14:paraId="2C91D742" w14:textId="77777777" w:rsidTr="009B4C13">
        <w:tc>
          <w:tcPr>
            <w:tcW w:w="4786" w:type="dxa"/>
            <w:shd w:val="clear" w:color="auto" w:fill="auto"/>
          </w:tcPr>
          <w:p w14:paraId="6CEBBD8B" w14:textId="77777777" w:rsidR="000D3836" w:rsidRPr="006F5E3A" w:rsidRDefault="000D3836" w:rsidP="00886353">
            <w:pPr>
              <w:pStyle w:val="BodyTextIndent"/>
              <w:numPr>
                <w:ilvl w:val="0"/>
                <w:numId w:val="34"/>
              </w:numPr>
              <w:spacing w:before="0" w:after="0" w:line="240" w:lineRule="auto"/>
              <w:rPr>
                <w:rFonts w:ascii="Calibri" w:hAnsi="Calibri" w:cs="Times New Roman"/>
                <w:i w:val="0"/>
                <w:sz w:val="22"/>
              </w:rPr>
            </w:pPr>
            <w:r w:rsidRPr="006F5E3A">
              <w:rPr>
                <w:rFonts w:ascii="Calibri" w:hAnsi="Calibri" w:cs="Times New Roman"/>
                <w:i w:val="0"/>
                <w:sz w:val="22"/>
              </w:rPr>
              <w:t>Direct Property</w:t>
            </w:r>
          </w:p>
        </w:tc>
        <w:tc>
          <w:tcPr>
            <w:tcW w:w="2410" w:type="dxa"/>
            <w:shd w:val="clear" w:color="auto" w:fill="auto"/>
          </w:tcPr>
          <w:p w14:paraId="2AD36A72" w14:textId="666A224D" w:rsidR="000D3836" w:rsidRPr="006F5E3A" w:rsidRDefault="00ED6017"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65</w:t>
            </w:r>
            <w:r w:rsidR="00ED54E7">
              <w:rPr>
                <w:rFonts w:ascii="Calibri" w:hAnsi="Calibri" w:cs="Times New Roman"/>
                <w:i w:val="0"/>
                <w:sz w:val="22"/>
              </w:rPr>
              <w:t>-</w:t>
            </w:r>
            <w:r>
              <w:rPr>
                <w:rFonts w:ascii="Calibri" w:hAnsi="Calibri" w:cs="Times New Roman"/>
                <w:i w:val="0"/>
                <w:sz w:val="22"/>
              </w:rPr>
              <w:t>75</w:t>
            </w:r>
            <w:r w:rsidR="000D3836">
              <w:rPr>
                <w:rFonts w:ascii="Calibri" w:hAnsi="Calibri" w:cs="Times New Roman"/>
                <w:i w:val="0"/>
                <w:sz w:val="22"/>
              </w:rPr>
              <w:t>%</w:t>
            </w:r>
          </w:p>
        </w:tc>
        <w:tc>
          <w:tcPr>
            <w:tcW w:w="2165" w:type="dxa"/>
            <w:shd w:val="clear" w:color="auto" w:fill="auto"/>
          </w:tcPr>
          <w:p w14:paraId="0BA74F17" w14:textId="4D59D98A" w:rsidR="000D3836" w:rsidRPr="006F5E3A" w:rsidRDefault="00ED6017"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65-7</w:t>
            </w:r>
            <w:r w:rsidR="00ED54E7">
              <w:rPr>
                <w:rFonts w:ascii="Calibri" w:hAnsi="Calibri" w:cs="Times New Roman"/>
                <w:i w:val="0"/>
                <w:sz w:val="22"/>
              </w:rPr>
              <w:t>0</w:t>
            </w:r>
            <w:r>
              <w:rPr>
                <w:rFonts w:ascii="Calibri" w:hAnsi="Calibri" w:cs="Times New Roman"/>
                <w:i w:val="0"/>
                <w:sz w:val="22"/>
              </w:rPr>
              <w:t>%</w:t>
            </w:r>
          </w:p>
        </w:tc>
      </w:tr>
      <w:tr w:rsidR="000D3836" w:rsidRPr="001B49FF" w14:paraId="23925CD8" w14:textId="77777777" w:rsidTr="009B4C13">
        <w:tc>
          <w:tcPr>
            <w:tcW w:w="4786" w:type="dxa"/>
            <w:shd w:val="clear" w:color="auto" w:fill="auto"/>
          </w:tcPr>
          <w:p w14:paraId="71FBD7C4" w14:textId="77777777" w:rsidR="000D3836" w:rsidRPr="006F5E3A" w:rsidRDefault="000D3836" w:rsidP="00886353">
            <w:pPr>
              <w:pStyle w:val="BodyTextIndent"/>
              <w:spacing w:before="0" w:after="0" w:line="240" w:lineRule="auto"/>
              <w:rPr>
                <w:rFonts w:ascii="Calibri" w:hAnsi="Calibri" w:cs="Times New Roman"/>
                <w:i w:val="0"/>
                <w:sz w:val="22"/>
              </w:rPr>
            </w:pPr>
          </w:p>
        </w:tc>
        <w:tc>
          <w:tcPr>
            <w:tcW w:w="2410" w:type="dxa"/>
            <w:shd w:val="clear" w:color="auto" w:fill="auto"/>
          </w:tcPr>
          <w:p w14:paraId="65915D68" w14:textId="77777777" w:rsidR="000D3836" w:rsidRPr="006F5E3A" w:rsidRDefault="000D3836"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14B94B81" w14:textId="77777777" w:rsidR="000D3836" w:rsidRPr="006F5E3A" w:rsidRDefault="000D3836" w:rsidP="00886353">
            <w:pPr>
              <w:pStyle w:val="BodyTextIndent"/>
              <w:spacing w:before="0" w:after="0" w:line="240" w:lineRule="auto"/>
              <w:jc w:val="center"/>
              <w:rPr>
                <w:rFonts w:ascii="Calibri" w:hAnsi="Calibri" w:cs="Times New Roman"/>
                <w:i w:val="0"/>
                <w:sz w:val="22"/>
              </w:rPr>
            </w:pPr>
          </w:p>
        </w:tc>
      </w:tr>
      <w:tr w:rsidR="000D3836" w:rsidRPr="001B49FF" w14:paraId="322600A1" w14:textId="77777777" w:rsidTr="009B4C13">
        <w:tc>
          <w:tcPr>
            <w:tcW w:w="4786" w:type="dxa"/>
            <w:shd w:val="clear" w:color="auto" w:fill="auto"/>
          </w:tcPr>
          <w:p w14:paraId="4100A129" w14:textId="77777777" w:rsidR="000D3836" w:rsidRPr="006F5E3A" w:rsidRDefault="000D3836" w:rsidP="00886353">
            <w:pPr>
              <w:pStyle w:val="BodyTextIndent"/>
              <w:spacing w:before="0" w:after="0" w:line="240" w:lineRule="auto"/>
              <w:rPr>
                <w:rFonts w:ascii="Calibri" w:hAnsi="Calibri" w:cs="Times New Roman"/>
                <w:b/>
                <w:i w:val="0"/>
                <w:sz w:val="22"/>
              </w:rPr>
            </w:pPr>
            <w:r w:rsidRPr="006F5E3A">
              <w:rPr>
                <w:rFonts w:ascii="Calibri" w:hAnsi="Calibri" w:cs="Times New Roman"/>
                <w:b/>
                <w:i w:val="0"/>
                <w:sz w:val="22"/>
              </w:rPr>
              <w:t>Defensive assets</w:t>
            </w:r>
          </w:p>
        </w:tc>
        <w:tc>
          <w:tcPr>
            <w:tcW w:w="2410" w:type="dxa"/>
            <w:shd w:val="clear" w:color="auto" w:fill="auto"/>
          </w:tcPr>
          <w:p w14:paraId="503381CD" w14:textId="77777777" w:rsidR="000D3836" w:rsidRPr="006F5E3A" w:rsidRDefault="000D3836"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6307827E" w14:textId="77777777" w:rsidR="000D3836" w:rsidRPr="006F5E3A" w:rsidRDefault="000D3836" w:rsidP="00886353">
            <w:pPr>
              <w:pStyle w:val="BodyTextIndent"/>
              <w:spacing w:before="0" w:after="0" w:line="240" w:lineRule="auto"/>
              <w:jc w:val="center"/>
              <w:rPr>
                <w:rFonts w:ascii="Calibri" w:hAnsi="Calibri" w:cs="Times New Roman"/>
                <w:i w:val="0"/>
                <w:sz w:val="22"/>
              </w:rPr>
            </w:pPr>
          </w:p>
        </w:tc>
      </w:tr>
      <w:tr w:rsidR="000D3836" w:rsidRPr="001B49FF" w14:paraId="5F9FAA1D" w14:textId="77777777" w:rsidTr="009B4C13">
        <w:tc>
          <w:tcPr>
            <w:tcW w:w="4786" w:type="dxa"/>
            <w:shd w:val="clear" w:color="auto" w:fill="auto"/>
          </w:tcPr>
          <w:p w14:paraId="76F2E6B1" w14:textId="0CEC8718" w:rsidR="000D3836" w:rsidRPr="006F5E3A" w:rsidRDefault="000D3836" w:rsidP="00886353">
            <w:pPr>
              <w:pStyle w:val="BodyTextIndent"/>
              <w:numPr>
                <w:ilvl w:val="0"/>
                <w:numId w:val="35"/>
              </w:numPr>
              <w:spacing w:before="0" w:after="0" w:line="240" w:lineRule="auto"/>
              <w:rPr>
                <w:rFonts w:ascii="Calibri" w:hAnsi="Calibri" w:cs="Times New Roman"/>
                <w:i w:val="0"/>
                <w:sz w:val="22"/>
              </w:rPr>
            </w:pPr>
            <w:r w:rsidRPr="006F5E3A">
              <w:rPr>
                <w:rFonts w:ascii="Calibri" w:hAnsi="Calibri" w:cs="Times New Roman"/>
                <w:i w:val="0"/>
                <w:sz w:val="22"/>
              </w:rPr>
              <w:t xml:space="preserve">Cash and </w:t>
            </w:r>
            <w:r w:rsidR="007F0B91">
              <w:rPr>
                <w:rFonts w:ascii="Calibri" w:hAnsi="Calibri" w:cs="Times New Roman"/>
                <w:i w:val="0"/>
                <w:sz w:val="22"/>
              </w:rPr>
              <w:t>sundry assets</w:t>
            </w:r>
          </w:p>
        </w:tc>
        <w:tc>
          <w:tcPr>
            <w:tcW w:w="2410" w:type="dxa"/>
            <w:shd w:val="clear" w:color="auto" w:fill="auto"/>
          </w:tcPr>
          <w:p w14:paraId="5F891C12" w14:textId="2390276C" w:rsidR="000D3836" w:rsidRPr="006F5E3A" w:rsidRDefault="00ED54E7"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1</w:t>
            </w:r>
            <w:r w:rsidR="00ED6017">
              <w:rPr>
                <w:rFonts w:ascii="Calibri" w:hAnsi="Calibri" w:cs="Times New Roman"/>
                <w:i w:val="0"/>
                <w:sz w:val="22"/>
              </w:rPr>
              <w:t>5</w:t>
            </w:r>
            <w:r w:rsidR="000D3836">
              <w:rPr>
                <w:rFonts w:ascii="Calibri" w:hAnsi="Calibri" w:cs="Times New Roman"/>
                <w:i w:val="0"/>
                <w:sz w:val="22"/>
              </w:rPr>
              <w:t>-</w:t>
            </w:r>
            <w:r w:rsidR="00ED6017">
              <w:rPr>
                <w:rFonts w:ascii="Calibri" w:hAnsi="Calibri" w:cs="Times New Roman"/>
                <w:i w:val="0"/>
                <w:sz w:val="22"/>
              </w:rPr>
              <w:t>2</w:t>
            </w:r>
            <w:r>
              <w:rPr>
                <w:rFonts w:ascii="Calibri" w:hAnsi="Calibri" w:cs="Times New Roman"/>
                <w:i w:val="0"/>
                <w:sz w:val="22"/>
              </w:rPr>
              <w:t>5</w:t>
            </w:r>
            <w:r w:rsidR="000D3836">
              <w:rPr>
                <w:rFonts w:ascii="Calibri" w:hAnsi="Calibri" w:cs="Times New Roman"/>
                <w:i w:val="0"/>
                <w:sz w:val="22"/>
              </w:rPr>
              <w:t>%</w:t>
            </w:r>
          </w:p>
        </w:tc>
        <w:tc>
          <w:tcPr>
            <w:tcW w:w="2165" w:type="dxa"/>
            <w:shd w:val="clear" w:color="auto" w:fill="auto"/>
          </w:tcPr>
          <w:p w14:paraId="2A06BD7A" w14:textId="0D8A2C6F" w:rsidR="000D3836" w:rsidRPr="006F5E3A" w:rsidRDefault="00ED54E7" w:rsidP="00886353">
            <w:pPr>
              <w:pStyle w:val="BodyTextIndent"/>
              <w:spacing w:before="0" w:after="0" w:line="240" w:lineRule="auto"/>
              <w:jc w:val="center"/>
              <w:rPr>
                <w:rFonts w:ascii="Calibri" w:hAnsi="Calibri" w:cs="Times New Roman"/>
                <w:i w:val="0"/>
                <w:sz w:val="22"/>
              </w:rPr>
            </w:pPr>
            <w:r>
              <w:rPr>
                <w:rFonts w:ascii="Calibri" w:hAnsi="Calibri" w:cs="Times New Roman"/>
                <w:i w:val="0"/>
                <w:sz w:val="22"/>
              </w:rPr>
              <w:t>20</w:t>
            </w:r>
            <w:r w:rsidR="00ED6017">
              <w:rPr>
                <w:rFonts w:ascii="Calibri" w:hAnsi="Calibri" w:cs="Times New Roman"/>
                <w:i w:val="0"/>
                <w:sz w:val="22"/>
              </w:rPr>
              <w:t>-2</w:t>
            </w:r>
            <w:r>
              <w:rPr>
                <w:rFonts w:ascii="Calibri" w:hAnsi="Calibri" w:cs="Times New Roman"/>
                <w:i w:val="0"/>
                <w:sz w:val="22"/>
              </w:rPr>
              <w:t>5</w:t>
            </w:r>
            <w:r w:rsidR="000D3836">
              <w:rPr>
                <w:rFonts w:ascii="Calibri" w:hAnsi="Calibri" w:cs="Times New Roman"/>
                <w:i w:val="0"/>
                <w:sz w:val="22"/>
              </w:rPr>
              <w:t>%</w:t>
            </w:r>
          </w:p>
        </w:tc>
      </w:tr>
      <w:tr w:rsidR="000D3836" w:rsidRPr="001B49FF" w14:paraId="6313A871" w14:textId="77777777" w:rsidTr="009B4C13">
        <w:tc>
          <w:tcPr>
            <w:tcW w:w="4786" w:type="dxa"/>
            <w:shd w:val="clear" w:color="auto" w:fill="auto"/>
          </w:tcPr>
          <w:p w14:paraId="0B4E0E9A" w14:textId="77777777" w:rsidR="000D3836" w:rsidRPr="001B49FF" w:rsidRDefault="000D3836" w:rsidP="00886353">
            <w:pPr>
              <w:pStyle w:val="BodyTextIndent"/>
              <w:spacing w:before="0" w:after="0" w:line="240" w:lineRule="auto"/>
              <w:rPr>
                <w:rFonts w:ascii="Calibri" w:hAnsi="Calibri" w:cs="Times New Roman"/>
                <w:i w:val="0"/>
                <w:sz w:val="22"/>
              </w:rPr>
            </w:pPr>
          </w:p>
        </w:tc>
        <w:tc>
          <w:tcPr>
            <w:tcW w:w="2410" w:type="dxa"/>
            <w:shd w:val="clear" w:color="auto" w:fill="auto"/>
          </w:tcPr>
          <w:p w14:paraId="4C92EB48" w14:textId="77777777" w:rsidR="000D3836" w:rsidRPr="001B49FF" w:rsidRDefault="000D3836" w:rsidP="00886353">
            <w:pPr>
              <w:pStyle w:val="BodyTextIndent"/>
              <w:spacing w:before="0" w:after="0" w:line="240" w:lineRule="auto"/>
              <w:jc w:val="center"/>
              <w:rPr>
                <w:rFonts w:ascii="Calibri" w:hAnsi="Calibri" w:cs="Times New Roman"/>
                <w:i w:val="0"/>
                <w:sz w:val="22"/>
              </w:rPr>
            </w:pPr>
          </w:p>
        </w:tc>
        <w:tc>
          <w:tcPr>
            <w:tcW w:w="2165" w:type="dxa"/>
            <w:shd w:val="clear" w:color="auto" w:fill="auto"/>
          </w:tcPr>
          <w:p w14:paraId="3B5911FB" w14:textId="77777777" w:rsidR="000D3836" w:rsidRPr="001B49FF" w:rsidRDefault="000D3836" w:rsidP="00886353">
            <w:pPr>
              <w:pStyle w:val="BodyTextIndent"/>
              <w:spacing w:before="0" w:after="0" w:line="240" w:lineRule="auto"/>
              <w:jc w:val="center"/>
              <w:rPr>
                <w:rFonts w:ascii="Calibri" w:hAnsi="Calibri" w:cs="Times New Roman"/>
                <w:b/>
                <w:i w:val="0"/>
                <w:sz w:val="22"/>
              </w:rPr>
            </w:pPr>
            <w:r w:rsidRPr="001B49FF">
              <w:rPr>
                <w:rFonts w:ascii="Calibri" w:hAnsi="Calibri" w:cs="Times New Roman"/>
                <w:b/>
                <w:i w:val="0"/>
                <w:sz w:val="22"/>
              </w:rPr>
              <w:t>100%</w:t>
            </w:r>
          </w:p>
        </w:tc>
      </w:tr>
    </w:tbl>
    <w:p w14:paraId="0431E43A" w14:textId="77777777" w:rsidR="000D3836" w:rsidRPr="001B49FF" w:rsidRDefault="000D3836" w:rsidP="00062506">
      <w:pPr>
        <w:pStyle w:val="BodyTextIndent"/>
        <w:spacing w:before="0" w:after="0" w:line="240" w:lineRule="auto"/>
        <w:rPr>
          <w:rFonts w:ascii="Calibri" w:hAnsi="Calibri" w:cs="Times New Roman"/>
          <w:i w:val="0"/>
          <w:sz w:val="22"/>
        </w:rPr>
      </w:pPr>
    </w:p>
    <w:p w14:paraId="090D2B23" w14:textId="77777777" w:rsidR="000D3836" w:rsidRPr="001B49FF" w:rsidRDefault="000D3836" w:rsidP="00062506">
      <w:pPr>
        <w:pStyle w:val="BodyTextIndent"/>
        <w:spacing w:before="0" w:after="0" w:line="240" w:lineRule="auto"/>
        <w:rPr>
          <w:rFonts w:ascii="Calibri" w:hAnsi="Calibri" w:cs="Times New Roman"/>
          <w:sz w:val="22"/>
        </w:rPr>
      </w:pPr>
    </w:p>
    <w:p w14:paraId="593C9BAE" w14:textId="77777777" w:rsidR="000D3836" w:rsidRPr="001B49FF" w:rsidRDefault="000D3836" w:rsidP="00062506">
      <w:pPr>
        <w:pStyle w:val="BodyTextIndent"/>
        <w:spacing w:before="0" w:after="0" w:line="240" w:lineRule="auto"/>
        <w:rPr>
          <w:rFonts w:ascii="Calibri" w:hAnsi="Calibri" w:cs="Times New Roman"/>
          <w:sz w:val="22"/>
        </w:rPr>
      </w:pPr>
    </w:p>
    <w:p w14:paraId="052D445F" w14:textId="77777777" w:rsidR="000D3836" w:rsidRPr="001B49FF" w:rsidRDefault="000D3836" w:rsidP="004B24BB">
      <w:pPr>
        <w:pStyle w:val="BodyText3"/>
        <w:spacing w:before="0" w:after="0" w:line="240" w:lineRule="auto"/>
        <w:rPr>
          <w:rFonts w:ascii="Calibri" w:hAnsi="Calibri" w:cs="Times New Roman"/>
          <w:sz w:val="22"/>
          <w:szCs w:val="22"/>
        </w:rPr>
      </w:pPr>
    </w:p>
    <w:p w14:paraId="34A4A20A" w14:textId="32F7694A" w:rsidR="000D3836" w:rsidRPr="001B49FF" w:rsidRDefault="000D3836" w:rsidP="004B24BB">
      <w:pPr>
        <w:pStyle w:val="BodyText3"/>
        <w:spacing w:before="0" w:after="0" w:line="240" w:lineRule="auto"/>
        <w:rPr>
          <w:rFonts w:ascii="Calibri" w:hAnsi="Calibri" w:cs="Times New Roman"/>
          <w:i/>
          <w:sz w:val="22"/>
          <w:szCs w:val="22"/>
        </w:rPr>
      </w:pPr>
      <w:r w:rsidRPr="001B49FF">
        <w:rPr>
          <w:rFonts w:ascii="Calibri" w:hAnsi="Calibri" w:cs="Times New Roman"/>
          <w:i/>
          <w:sz w:val="22"/>
          <w:szCs w:val="22"/>
        </w:rPr>
        <w:t>All Trustees</w:t>
      </w:r>
      <w:r w:rsidR="00ED6017">
        <w:rPr>
          <w:rFonts w:ascii="Calibri" w:hAnsi="Calibri" w:cs="Times New Roman"/>
          <w:i/>
          <w:sz w:val="22"/>
          <w:szCs w:val="22"/>
        </w:rPr>
        <w:t xml:space="preserve"> to</w:t>
      </w:r>
      <w:r w:rsidRPr="001B49FF">
        <w:rPr>
          <w:rFonts w:ascii="Calibri" w:hAnsi="Calibri" w:cs="Times New Roman"/>
          <w:i/>
          <w:sz w:val="22"/>
          <w:szCs w:val="22"/>
        </w:rPr>
        <w:t xml:space="preserve"> sign</w:t>
      </w:r>
    </w:p>
    <w:p w14:paraId="2AE935F2" w14:textId="77777777" w:rsidR="000D3836" w:rsidRPr="001B49FF" w:rsidRDefault="000D3836" w:rsidP="00131E9B">
      <w:pPr>
        <w:pStyle w:val="Heading2"/>
        <w:tabs>
          <w:tab w:val="left" w:pos="567"/>
          <w:tab w:val="left" w:pos="1134"/>
        </w:tabs>
        <w:spacing w:before="0" w:after="0"/>
        <w:rPr>
          <w:rFonts w:ascii="Calibri" w:hAnsi="Calibri" w:cs="Times New Roman"/>
          <w:b w:val="0"/>
          <w:i w:val="0"/>
          <w:iCs w:val="0"/>
          <w:sz w:val="22"/>
          <w:szCs w:val="22"/>
        </w:rPr>
      </w:pPr>
    </w:p>
    <w:p w14:paraId="4FC7565C" w14:textId="77777777" w:rsidR="000D3836" w:rsidRPr="001B49FF" w:rsidRDefault="000D3836" w:rsidP="00131E9B">
      <w:pPr>
        <w:rPr>
          <w:rFonts w:ascii="Calibri" w:hAnsi="Calibri"/>
        </w:rPr>
      </w:pPr>
    </w:p>
    <w:p w14:paraId="2D48F245" w14:textId="77777777" w:rsidR="000D3836" w:rsidRPr="001B49FF" w:rsidRDefault="000D3836" w:rsidP="004B24BB">
      <w:pPr>
        <w:spacing w:before="0" w:after="0" w:line="240" w:lineRule="auto"/>
        <w:jc w:val="both"/>
        <w:rPr>
          <w:rFonts w:ascii="Calibri" w:hAnsi="Calibri" w:cs="Times New Roman"/>
          <w:sz w:val="22"/>
        </w:rPr>
      </w:pPr>
    </w:p>
    <w:p w14:paraId="62831BA7" w14:textId="77777777" w:rsidR="000D3836" w:rsidRPr="001B49FF" w:rsidRDefault="000D3836" w:rsidP="004B24BB">
      <w:pPr>
        <w:spacing w:before="0" w:after="0" w:line="240" w:lineRule="auto"/>
        <w:jc w:val="center"/>
        <w:rPr>
          <w:rFonts w:ascii="Calibri" w:hAnsi="Calibri" w:cs="Times New Roman"/>
          <w:b/>
          <w:bCs w:val="0"/>
          <w:sz w:val="22"/>
        </w:rPr>
      </w:pPr>
    </w:p>
    <w:p w14:paraId="5AC8C6A9" w14:textId="77777777" w:rsidR="000D3836" w:rsidRPr="001B49FF" w:rsidRDefault="000D3836" w:rsidP="00164476">
      <w:pPr>
        <w:spacing w:before="0" w:after="0" w:line="240" w:lineRule="auto"/>
        <w:rPr>
          <w:rFonts w:ascii="Calibri" w:hAnsi="Calibri" w:cs="Times New Roman"/>
          <w:sz w:val="22"/>
        </w:rPr>
      </w:pPr>
      <w:r w:rsidRPr="001B49FF">
        <w:rPr>
          <w:rFonts w:ascii="Calibri" w:hAnsi="Calibri" w:cs="Times New Roman"/>
          <w:sz w:val="22"/>
        </w:rPr>
        <w:t>Signed &amp; dated</w:t>
      </w:r>
    </w:p>
    <w:p w14:paraId="637A17EF" w14:textId="77777777" w:rsidR="000D3836" w:rsidRPr="001B49FF" w:rsidRDefault="000D3836" w:rsidP="00164476">
      <w:pPr>
        <w:spacing w:before="0" w:after="0" w:line="240" w:lineRule="auto"/>
        <w:rPr>
          <w:rFonts w:ascii="Calibri" w:hAnsi="Calibri" w:cs="Times New Roman"/>
          <w:sz w:val="22"/>
        </w:rPr>
      </w:pPr>
    </w:p>
    <w:p w14:paraId="5DF52428" w14:textId="77777777" w:rsidR="000D3836" w:rsidRPr="001B49FF" w:rsidRDefault="000D3836" w:rsidP="00164476">
      <w:pPr>
        <w:spacing w:before="0" w:after="0" w:line="240" w:lineRule="auto"/>
        <w:rPr>
          <w:rFonts w:ascii="Calibri" w:hAnsi="Calibri" w:cs="Times New Roman"/>
          <w:sz w:val="22"/>
        </w:rPr>
      </w:pPr>
    </w:p>
    <w:p w14:paraId="207907CC" w14:textId="77777777" w:rsidR="000D3836" w:rsidRPr="001B49FF" w:rsidRDefault="000D3836" w:rsidP="00164476">
      <w:pPr>
        <w:spacing w:before="0" w:after="0" w:line="240" w:lineRule="auto"/>
        <w:rPr>
          <w:rFonts w:ascii="Calibri" w:hAnsi="Calibri" w:cs="Times New Roman"/>
          <w:sz w:val="22"/>
        </w:rPr>
      </w:pPr>
      <w:r w:rsidRPr="001B49FF">
        <w:rPr>
          <w:rFonts w:ascii="Calibri" w:hAnsi="Calibri" w:cs="Times New Roman"/>
          <w:sz w:val="22"/>
        </w:rPr>
        <w:t>____________________________________</w:t>
      </w:r>
    </w:p>
    <w:p w14:paraId="5E2CDAD9" w14:textId="298DBAB4" w:rsidR="000D3836" w:rsidRPr="006F5E3A" w:rsidRDefault="000D3836" w:rsidP="00164476">
      <w:pPr>
        <w:spacing w:before="0" w:after="0" w:line="240" w:lineRule="auto"/>
        <w:rPr>
          <w:rFonts w:ascii="Calibri" w:hAnsi="Calibri" w:cs="Times New Roman"/>
          <w:sz w:val="22"/>
        </w:rPr>
      </w:pPr>
      <w:r w:rsidRPr="006F5E3A">
        <w:rPr>
          <w:rFonts w:ascii="Calibri" w:hAnsi="Calibri" w:cs="Times New Roman"/>
          <w:sz w:val="22"/>
        </w:rPr>
        <w:t>Trustee</w:t>
      </w:r>
    </w:p>
    <w:p w14:paraId="79D4AA71" w14:textId="77777777" w:rsidR="000D3836" w:rsidRPr="006F5E3A" w:rsidRDefault="000D3836" w:rsidP="00164476">
      <w:pPr>
        <w:spacing w:before="0" w:after="0" w:line="240" w:lineRule="auto"/>
        <w:rPr>
          <w:rFonts w:ascii="Calibri" w:hAnsi="Calibri" w:cs="Times New Roman"/>
          <w:sz w:val="22"/>
        </w:rPr>
      </w:pPr>
    </w:p>
    <w:p w14:paraId="6E9BBBAA" w14:textId="77777777" w:rsidR="000D3836" w:rsidRPr="006F5E3A" w:rsidRDefault="000D3836" w:rsidP="00164476">
      <w:pPr>
        <w:spacing w:before="0" w:after="0" w:line="240" w:lineRule="auto"/>
        <w:rPr>
          <w:rFonts w:ascii="Calibri" w:hAnsi="Calibri" w:cs="Times New Roman"/>
          <w:sz w:val="22"/>
        </w:rPr>
      </w:pPr>
    </w:p>
    <w:p w14:paraId="677B6A75" w14:textId="77777777" w:rsidR="000D3836" w:rsidRPr="006F5E3A" w:rsidRDefault="000D3836" w:rsidP="00164476">
      <w:pPr>
        <w:spacing w:before="0" w:after="0" w:line="240" w:lineRule="auto"/>
        <w:rPr>
          <w:rFonts w:ascii="Calibri" w:hAnsi="Calibri" w:cs="Times New Roman"/>
          <w:sz w:val="22"/>
        </w:rPr>
      </w:pPr>
      <w:r w:rsidRPr="006F5E3A">
        <w:rPr>
          <w:rFonts w:ascii="Calibri" w:hAnsi="Calibri" w:cs="Times New Roman"/>
          <w:sz w:val="22"/>
        </w:rPr>
        <w:t>____________________________________</w:t>
      </w:r>
    </w:p>
    <w:p w14:paraId="04AFF488" w14:textId="1BBFBD44" w:rsidR="000D3836" w:rsidRPr="006F5E3A" w:rsidRDefault="000D3836" w:rsidP="00164476">
      <w:pPr>
        <w:spacing w:before="0" w:after="0" w:line="240" w:lineRule="auto"/>
        <w:rPr>
          <w:rFonts w:ascii="Calibri" w:hAnsi="Calibri" w:cs="Times New Roman"/>
          <w:sz w:val="22"/>
        </w:rPr>
      </w:pPr>
      <w:r w:rsidRPr="006F5E3A">
        <w:rPr>
          <w:rFonts w:ascii="Calibri" w:hAnsi="Calibri" w:cs="Times New Roman"/>
          <w:sz w:val="22"/>
        </w:rPr>
        <w:t>Trustee</w:t>
      </w:r>
    </w:p>
    <w:p w14:paraId="6D44B9B4" w14:textId="77777777" w:rsidR="000D3836" w:rsidRDefault="000D3836" w:rsidP="00164476">
      <w:pPr>
        <w:spacing w:before="0" w:after="0" w:line="240" w:lineRule="auto"/>
        <w:rPr>
          <w:rFonts w:ascii="Calibri" w:hAnsi="Calibri" w:cs="Times New Roman"/>
          <w:color w:val="FF0000"/>
          <w:sz w:val="22"/>
        </w:rPr>
      </w:pPr>
    </w:p>
    <w:p w14:paraId="0095265B" w14:textId="77777777" w:rsidR="000D3836" w:rsidRDefault="000D3836" w:rsidP="00C10567">
      <w:pPr>
        <w:spacing w:before="0" w:after="0" w:line="240" w:lineRule="auto"/>
        <w:jc w:val="center"/>
        <w:rPr>
          <w:rFonts w:ascii="Arial" w:hAnsi="Arial"/>
          <w:b/>
          <w:bCs w:val="0"/>
          <w:color w:val="333333"/>
          <w:sz w:val="72"/>
          <w:szCs w:val="72"/>
          <w:lang w:eastAsia="en-AU"/>
        </w:rPr>
      </w:pPr>
      <w:r>
        <w:rPr>
          <w:rFonts w:ascii="Calibri" w:hAnsi="Calibri" w:cs="Times New Roman"/>
          <w:color w:val="FF0000"/>
          <w:sz w:val="22"/>
        </w:rPr>
        <w:br w:type="page"/>
      </w:r>
      <w:r>
        <w:rPr>
          <w:rFonts w:ascii="Arial" w:hAnsi="Arial"/>
          <w:b/>
          <w:bCs w:val="0"/>
          <w:color w:val="333333"/>
          <w:sz w:val="72"/>
          <w:szCs w:val="72"/>
          <w:lang w:eastAsia="en-AU"/>
        </w:rPr>
        <w:lastRenderedPageBreak/>
        <w:t xml:space="preserve"> </w:t>
      </w:r>
    </w:p>
    <w:p w14:paraId="74ED1D30" w14:textId="77777777" w:rsidR="000D3836" w:rsidRDefault="000D3836" w:rsidP="00D809D0">
      <w:pPr>
        <w:spacing w:after="120"/>
        <w:rPr>
          <w:rFonts w:ascii="Calibri" w:hAnsi="Calibri" w:cs="Calibri"/>
          <w:bCs w:val="0"/>
          <w:kern w:val="0"/>
          <w:sz w:val="22"/>
        </w:rPr>
      </w:pPr>
      <w:r>
        <w:rPr>
          <w:rFonts w:ascii="Arial" w:hAnsi="Arial"/>
          <w:b/>
          <w:bCs w:val="0"/>
          <w:color w:val="333333"/>
          <w:sz w:val="72"/>
          <w:szCs w:val="72"/>
          <w:lang w:eastAsia="en-AU"/>
        </w:rPr>
        <w:t>Best performing super funds over 5 years (to September 2019)</w:t>
      </w:r>
    </w:p>
    <w:p w14:paraId="4785BA1E" w14:textId="77777777" w:rsidR="000D3836" w:rsidRPr="00D809D0" w:rsidRDefault="000D3836" w:rsidP="00D809D0">
      <w:pPr>
        <w:spacing w:line="384" w:lineRule="atLeast"/>
      </w:pPr>
      <w:r w:rsidRPr="00D809D0">
        <w:rPr>
          <w:rFonts w:ascii="Times New Roman" w:hAnsi="Times New Roman" w:cs="Times New Roman"/>
          <w:caps/>
          <w:spacing w:val="14"/>
          <w:sz w:val="21"/>
          <w:szCs w:val="21"/>
          <w:lang w:eastAsia="en-AU"/>
        </w:rPr>
        <w:t>OCTOBER 26, 2019 </w:t>
      </w:r>
      <w:r w:rsidRPr="00D809D0">
        <w:t xml:space="preserve"> </w:t>
      </w:r>
    </w:p>
    <w:p w14:paraId="7041E3B1" w14:textId="77777777" w:rsidR="000D3836" w:rsidRDefault="000D3836" w:rsidP="00D809D0">
      <w:pPr>
        <w:spacing w:after="240" w:line="384" w:lineRule="atLeast"/>
      </w:pPr>
      <w:r>
        <w:rPr>
          <w:rFonts w:ascii="Times New Roman" w:hAnsi="Times New Roman" w:cs="Times New Roman"/>
          <w:sz w:val="30"/>
          <w:szCs w:val="30"/>
          <w:lang w:eastAsia="en-AU"/>
        </w:rPr>
        <w:t>Being in a good performing super fund is one of the key factors for growing your super balance. The recent Productivity Commission (PC) review of superannuation identified that members of consistently poor performing funds would have substantially lower super balances at retirement.</w:t>
      </w:r>
    </w:p>
    <w:p w14:paraId="2AC8F27E" w14:textId="77777777" w:rsidR="000D3836" w:rsidRDefault="000D3836" w:rsidP="00D809D0">
      <w:pPr>
        <w:spacing w:after="240" w:line="384" w:lineRule="atLeast"/>
      </w:pPr>
      <w:r>
        <w:rPr>
          <w:rFonts w:ascii="Times New Roman" w:hAnsi="Times New Roman" w:cs="Times New Roman"/>
          <w:sz w:val="30"/>
          <w:szCs w:val="30"/>
          <w:lang w:eastAsia="en-AU"/>
        </w:rPr>
        <w:t>The PC produced an example of a 21-year-old on a $50,000 starting salary. If they joined a super fund that is consistently in the top quarter of funds rated by performance, they could expect to retire at 67 with a super balance of $1.2 million. If instead they joined one of the super funds that is consistently in the bottom quarter of funds, they would retire with $560,000 – 54% less.</w:t>
      </w:r>
    </w:p>
    <w:p w14:paraId="7A0B828B" w14:textId="77777777" w:rsidR="000D3836" w:rsidRDefault="000D3836" w:rsidP="00D809D0">
      <w:pPr>
        <w:spacing w:after="240" w:line="384" w:lineRule="atLeast"/>
      </w:pPr>
      <w:proofErr w:type="gramStart"/>
      <w:r>
        <w:rPr>
          <w:rFonts w:ascii="Times New Roman" w:hAnsi="Times New Roman" w:cs="Times New Roman"/>
          <w:sz w:val="30"/>
          <w:szCs w:val="30"/>
          <w:lang w:eastAsia="en-AU"/>
        </w:rPr>
        <w:t>We’re</w:t>
      </w:r>
      <w:proofErr w:type="gramEnd"/>
      <w:r>
        <w:rPr>
          <w:rFonts w:ascii="Times New Roman" w:hAnsi="Times New Roman" w:cs="Times New Roman"/>
          <w:sz w:val="30"/>
          <w:szCs w:val="30"/>
          <w:lang w:eastAsia="en-AU"/>
        </w:rPr>
        <w:t xml:space="preserve"> grateful to </w:t>
      </w:r>
      <w:proofErr w:type="spellStart"/>
      <w:r>
        <w:rPr>
          <w:rFonts w:ascii="Times New Roman" w:hAnsi="Times New Roman" w:cs="Times New Roman"/>
          <w:sz w:val="30"/>
          <w:szCs w:val="30"/>
          <w:lang w:eastAsia="en-AU"/>
        </w:rPr>
        <w:t>SuperRatings</w:t>
      </w:r>
      <w:proofErr w:type="spellEnd"/>
      <w:r>
        <w:rPr>
          <w:rFonts w:ascii="Times New Roman" w:hAnsi="Times New Roman" w:cs="Times New Roman"/>
          <w:sz w:val="30"/>
          <w:szCs w:val="30"/>
          <w:lang w:eastAsia="en-AU"/>
        </w:rPr>
        <w:t xml:space="preserve"> for providing the following list of top 30 performing balanced funds over the last 5 calendar years up to September 2019. </w:t>
      </w:r>
      <w:proofErr w:type="spellStart"/>
      <w:r>
        <w:rPr>
          <w:rFonts w:ascii="Times New Roman" w:hAnsi="Times New Roman" w:cs="Times New Roman"/>
          <w:sz w:val="30"/>
          <w:szCs w:val="30"/>
          <w:lang w:eastAsia="en-AU"/>
        </w:rPr>
        <w:t>SuperRatings</w:t>
      </w:r>
      <w:proofErr w:type="spellEnd"/>
      <w:r>
        <w:rPr>
          <w:rFonts w:ascii="Times New Roman" w:hAnsi="Times New Roman" w:cs="Times New Roman"/>
          <w:sz w:val="30"/>
          <w:szCs w:val="30"/>
          <w:lang w:eastAsia="en-AU"/>
        </w:rPr>
        <w:t>’ balanced category includes super fund investment options with 60% to 76% of their assets invested in growth assets.</w:t>
      </w:r>
    </w:p>
    <w:p w14:paraId="269C063C" w14:textId="77777777" w:rsidR="000D3836" w:rsidRDefault="000D3836" w:rsidP="00D809D0">
      <w:pPr>
        <w:spacing w:after="240" w:line="384" w:lineRule="atLeast"/>
      </w:pPr>
      <w:r>
        <w:rPr>
          <w:rFonts w:ascii="Times New Roman" w:hAnsi="Times New Roman" w:cs="Times New Roman"/>
          <w:sz w:val="30"/>
          <w:szCs w:val="30"/>
          <w:lang w:eastAsia="en-AU"/>
        </w:rPr>
        <w:t xml:space="preserve">The gold medal goes to </w:t>
      </w:r>
      <w:proofErr w:type="spellStart"/>
      <w:r>
        <w:rPr>
          <w:rFonts w:ascii="Times New Roman" w:hAnsi="Times New Roman" w:cs="Times New Roman"/>
          <w:sz w:val="30"/>
          <w:szCs w:val="30"/>
          <w:lang w:eastAsia="en-AU"/>
        </w:rPr>
        <w:t>AustralianSuper</w:t>
      </w:r>
      <w:proofErr w:type="spellEnd"/>
      <w:r>
        <w:rPr>
          <w:rFonts w:ascii="Times New Roman" w:hAnsi="Times New Roman" w:cs="Times New Roman"/>
          <w:sz w:val="30"/>
          <w:szCs w:val="30"/>
          <w:lang w:eastAsia="en-AU"/>
        </w:rPr>
        <w:t xml:space="preserve"> which achieved an average of 9.6% per year over the last 5 years, closely followed by </w:t>
      </w:r>
      <w:proofErr w:type="spellStart"/>
      <w:r>
        <w:rPr>
          <w:rFonts w:ascii="Times New Roman" w:hAnsi="Times New Roman" w:cs="Times New Roman"/>
          <w:sz w:val="30"/>
          <w:szCs w:val="30"/>
          <w:lang w:eastAsia="en-AU"/>
        </w:rPr>
        <w:t>Hostplus</w:t>
      </w:r>
      <w:proofErr w:type="spellEnd"/>
      <w:r>
        <w:rPr>
          <w:rFonts w:ascii="Times New Roman" w:hAnsi="Times New Roman" w:cs="Times New Roman"/>
          <w:sz w:val="30"/>
          <w:szCs w:val="30"/>
          <w:lang w:eastAsia="en-AU"/>
        </w:rPr>
        <w:t xml:space="preserve"> with 9.5% and UniSuper with 9.4%. </w:t>
      </w:r>
    </w:p>
    <w:p w14:paraId="4AA7E976" w14:textId="77777777" w:rsidR="000D3836" w:rsidRDefault="000D3836" w:rsidP="00D809D0">
      <w:pPr>
        <w:spacing w:after="240" w:line="384" w:lineRule="atLeast"/>
        <w:rPr>
          <w:rFonts w:ascii="Times New Roman" w:hAnsi="Times New Roman" w:cs="Times New Roman"/>
          <w:sz w:val="30"/>
          <w:szCs w:val="30"/>
          <w:lang w:eastAsia="en-AU"/>
        </w:rPr>
      </w:pPr>
      <w:r>
        <w:rPr>
          <w:rFonts w:ascii="Times New Roman" w:hAnsi="Times New Roman" w:cs="Times New Roman"/>
          <w:sz w:val="30"/>
          <w:szCs w:val="30"/>
          <w:lang w:eastAsia="en-AU"/>
        </w:rPr>
        <w:t>Industry funds dominate the top performers list. Among the top 20, 17 are industry funds, compared to just one retail fund. Learn more about the </w:t>
      </w:r>
      <w:hyperlink r:id="rId7" w:history="1">
        <w:r>
          <w:rPr>
            <w:rStyle w:val="Hyperlink"/>
            <w:rFonts w:ascii="Times New Roman" w:hAnsi="Times New Roman"/>
            <w:color w:val="B30000"/>
            <w:sz w:val="30"/>
            <w:szCs w:val="30"/>
            <w:lang w:eastAsia="en-AU"/>
          </w:rPr>
          <w:t>different types of super funds</w:t>
        </w:r>
      </w:hyperlink>
      <w:r>
        <w:rPr>
          <w:rFonts w:ascii="Times New Roman" w:hAnsi="Times New Roman" w:cs="Times New Roman"/>
          <w:sz w:val="30"/>
          <w:szCs w:val="30"/>
          <w:lang w:eastAsia="en-AU"/>
        </w:rPr>
        <w:t>.</w:t>
      </w:r>
    </w:p>
    <w:p w14:paraId="26B44084" w14:textId="77777777" w:rsidR="000D3836" w:rsidRDefault="000D3836" w:rsidP="00D809D0">
      <w:pPr>
        <w:spacing w:after="240" w:line="384" w:lineRule="atLeast"/>
        <w:rPr>
          <w:rFonts w:ascii="Times New Roman" w:hAnsi="Times New Roman" w:cs="Times New Roman"/>
          <w:sz w:val="30"/>
          <w:szCs w:val="30"/>
          <w:lang w:eastAsia="en-AU"/>
        </w:rPr>
      </w:pPr>
    </w:p>
    <w:tbl>
      <w:tblPr>
        <w:tblW w:w="12240" w:type="dxa"/>
        <w:tblInd w:w="-186" w:type="dxa"/>
        <w:tblCellMar>
          <w:left w:w="0" w:type="dxa"/>
          <w:right w:w="0" w:type="dxa"/>
        </w:tblCellMar>
        <w:tblLook w:val="04A0" w:firstRow="1" w:lastRow="0" w:firstColumn="1" w:lastColumn="0" w:noHBand="0" w:noVBand="1"/>
      </w:tblPr>
      <w:tblGrid>
        <w:gridCol w:w="990"/>
        <w:gridCol w:w="2876"/>
        <w:gridCol w:w="1141"/>
        <w:gridCol w:w="1532"/>
        <w:gridCol w:w="1612"/>
        <w:gridCol w:w="876"/>
        <w:gridCol w:w="1145"/>
        <w:gridCol w:w="1078"/>
        <w:gridCol w:w="990"/>
      </w:tblGrid>
      <w:tr w:rsidR="000D3836" w14:paraId="0604D68E" w14:textId="77777777" w:rsidTr="00BC171B">
        <w:trPr>
          <w:gridAfter w:val="1"/>
          <w:wAfter w:w="990" w:type="dxa"/>
        </w:trPr>
        <w:tc>
          <w:tcPr>
            <w:tcW w:w="3866" w:type="dxa"/>
            <w:gridSpan w:val="2"/>
            <w:tcBorders>
              <w:top w:val="nil"/>
              <w:left w:val="nil"/>
              <w:bottom w:val="dashed" w:sz="8" w:space="0" w:color="CACACA"/>
              <w:right w:val="nil"/>
            </w:tcBorders>
            <w:shd w:val="clear" w:color="auto" w:fill="F2F2F2"/>
            <w:tcMar>
              <w:top w:w="240" w:type="dxa"/>
              <w:left w:w="240" w:type="dxa"/>
              <w:bottom w:w="240" w:type="dxa"/>
              <w:right w:w="240" w:type="dxa"/>
            </w:tcMar>
            <w:hideMark/>
          </w:tcPr>
          <w:p w14:paraId="6C1BC9F6" w14:textId="77777777" w:rsidR="000D3836" w:rsidRDefault="000D3836">
            <w:pPr>
              <w:spacing w:after="240" w:line="384" w:lineRule="atLeast"/>
              <w:rPr>
                <w:rFonts w:ascii="Calibri" w:hAnsi="Calibri" w:cs="Calibri"/>
                <w:bCs w:val="0"/>
                <w:kern w:val="0"/>
                <w:sz w:val="22"/>
              </w:rPr>
            </w:pPr>
            <w:r>
              <w:rPr>
                <w:rFonts w:ascii="Times New Roman" w:hAnsi="Times New Roman" w:cs="Times New Roman"/>
                <w:b/>
                <w:bCs w:val="0"/>
                <w:sz w:val="30"/>
                <w:szCs w:val="30"/>
                <w:lang w:eastAsia="en-AU"/>
              </w:rPr>
              <w:t>Fund and optio</w:t>
            </w:r>
            <w:r>
              <w:rPr>
                <w:rFonts w:ascii="Times New Roman" w:hAnsi="Times New Roman" w:cs="Times New Roman"/>
                <w:b/>
                <w:bCs w:val="0"/>
                <w:color w:val="000000"/>
                <w:sz w:val="30"/>
                <w:szCs w:val="30"/>
                <w:lang w:eastAsia="en-AU"/>
              </w:rPr>
              <w:t>n</w:t>
            </w:r>
          </w:p>
        </w:tc>
        <w:tc>
          <w:tcPr>
            <w:tcW w:w="2673" w:type="dxa"/>
            <w:gridSpan w:val="2"/>
            <w:tcBorders>
              <w:top w:val="nil"/>
              <w:left w:val="nil"/>
              <w:bottom w:val="dashed" w:sz="8" w:space="0" w:color="CACACA"/>
              <w:right w:val="nil"/>
            </w:tcBorders>
            <w:shd w:val="clear" w:color="auto" w:fill="F2F2F2"/>
            <w:tcMar>
              <w:top w:w="240" w:type="dxa"/>
              <w:left w:w="240" w:type="dxa"/>
              <w:bottom w:w="240" w:type="dxa"/>
              <w:right w:w="240" w:type="dxa"/>
            </w:tcMar>
            <w:hideMark/>
          </w:tcPr>
          <w:p w14:paraId="011FE38C" w14:textId="77777777" w:rsidR="000D3836" w:rsidRDefault="000D3836">
            <w:pPr>
              <w:spacing w:after="240" w:line="384" w:lineRule="atLeast"/>
            </w:pPr>
            <w:r>
              <w:rPr>
                <w:rFonts w:ascii="Times New Roman" w:hAnsi="Times New Roman" w:cs="Times New Roman"/>
                <w:b/>
                <w:bCs w:val="0"/>
                <w:color w:val="000000"/>
                <w:sz w:val="30"/>
                <w:szCs w:val="30"/>
                <w:lang w:eastAsia="en-AU"/>
              </w:rPr>
              <w:t>Type</w:t>
            </w:r>
          </w:p>
        </w:tc>
        <w:tc>
          <w:tcPr>
            <w:tcW w:w="2488" w:type="dxa"/>
            <w:gridSpan w:val="2"/>
            <w:tcBorders>
              <w:top w:val="nil"/>
              <w:left w:val="nil"/>
              <w:bottom w:val="dashed" w:sz="8" w:space="0" w:color="CACACA"/>
              <w:right w:val="nil"/>
            </w:tcBorders>
            <w:shd w:val="clear" w:color="auto" w:fill="F2F2F2"/>
            <w:tcMar>
              <w:top w:w="240" w:type="dxa"/>
              <w:left w:w="240" w:type="dxa"/>
              <w:bottom w:w="240" w:type="dxa"/>
              <w:right w:w="240" w:type="dxa"/>
            </w:tcMar>
            <w:hideMark/>
          </w:tcPr>
          <w:p w14:paraId="3F692B08" w14:textId="77777777" w:rsidR="000D3836" w:rsidRDefault="000D3836">
            <w:pPr>
              <w:spacing w:after="240" w:line="384" w:lineRule="atLeast"/>
            </w:pPr>
            <w:r>
              <w:rPr>
                <w:rFonts w:ascii="Times New Roman" w:hAnsi="Times New Roman" w:cs="Times New Roman"/>
                <w:b/>
                <w:bCs w:val="0"/>
                <w:color w:val="000000"/>
                <w:sz w:val="30"/>
                <w:szCs w:val="30"/>
                <w:lang w:eastAsia="en-AU"/>
              </w:rPr>
              <w:t>Fees (based on $50,000 balance)</w:t>
            </w:r>
          </w:p>
        </w:tc>
        <w:tc>
          <w:tcPr>
            <w:tcW w:w="2223" w:type="dxa"/>
            <w:gridSpan w:val="2"/>
            <w:tcBorders>
              <w:top w:val="nil"/>
              <w:left w:val="nil"/>
              <w:bottom w:val="dashed" w:sz="8" w:space="0" w:color="CACACA"/>
              <w:right w:val="nil"/>
            </w:tcBorders>
            <w:shd w:val="clear" w:color="auto" w:fill="F2F2F2"/>
            <w:tcMar>
              <w:top w:w="240" w:type="dxa"/>
              <w:left w:w="240" w:type="dxa"/>
              <w:bottom w:w="240" w:type="dxa"/>
              <w:right w:w="240" w:type="dxa"/>
            </w:tcMar>
            <w:hideMark/>
          </w:tcPr>
          <w:p w14:paraId="40A49C16" w14:textId="77777777" w:rsidR="000D3836" w:rsidRDefault="000D3836">
            <w:pPr>
              <w:spacing w:after="240" w:line="384" w:lineRule="atLeast"/>
            </w:pPr>
            <w:r>
              <w:rPr>
                <w:rFonts w:ascii="Times New Roman" w:hAnsi="Times New Roman" w:cs="Times New Roman"/>
                <w:b/>
                <w:bCs w:val="0"/>
                <w:color w:val="000000"/>
                <w:sz w:val="30"/>
                <w:szCs w:val="30"/>
                <w:lang w:eastAsia="en-AU"/>
              </w:rPr>
              <w:t>Return over 5 years (% per year)</w:t>
            </w:r>
          </w:p>
        </w:tc>
      </w:tr>
      <w:tr w:rsidR="000D3836" w14:paraId="024D92AE" w14:textId="77777777" w:rsidTr="004855F7">
        <w:trPr>
          <w:gridAfter w:val="1"/>
          <w:wAfter w:w="990" w:type="dxa"/>
          <w:trHeight w:val="255"/>
        </w:trPr>
        <w:tc>
          <w:tcPr>
            <w:tcW w:w="3866" w:type="dxa"/>
            <w:gridSpan w:val="2"/>
            <w:tcMar>
              <w:top w:w="240" w:type="dxa"/>
              <w:left w:w="240" w:type="dxa"/>
              <w:bottom w:w="240" w:type="dxa"/>
              <w:right w:w="240" w:type="dxa"/>
            </w:tcMar>
            <w:hideMark/>
          </w:tcPr>
          <w:p w14:paraId="02A7C1E8" w14:textId="77777777" w:rsidR="000D3836" w:rsidRDefault="000D3836">
            <w:pPr>
              <w:spacing w:after="240" w:line="384" w:lineRule="atLeast"/>
            </w:pPr>
            <w:proofErr w:type="spellStart"/>
            <w:r>
              <w:rPr>
                <w:rFonts w:ascii="Times New Roman" w:hAnsi="Times New Roman" w:cs="Times New Roman"/>
                <w:sz w:val="30"/>
                <w:szCs w:val="30"/>
                <w:lang w:eastAsia="en-AU"/>
              </w:rPr>
              <w:t>AustralianSuper</w:t>
            </w:r>
            <w:proofErr w:type="spellEnd"/>
            <w:r>
              <w:rPr>
                <w:rFonts w:ascii="Times New Roman" w:hAnsi="Times New Roman" w:cs="Times New Roman"/>
                <w:sz w:val="30"/>
                <w:szCs w:val="30"/>
                <w:lang w:eastAsia="en-AU"/>
              </w:rPr>
              <w:t xml:space="preserve"> – Balanced</w:t>
            </w:r>
          </w:p>
        </w:tc>
        <w:tc>
          <w:tcPr>
            <w:tcW w:w="2673" w:type="dxa"/>
            <w:gridSpan w:val="2"/>
            <w:tcMar>
              <w:top w:w="240" w:type="dxa"/>
              <w:left w:w="240" w:type="dxa"/>
              <w:bottom w:w="240" w:type="dxa"/>
              <w:right w:w="240" w:type="dxa"/>
            </w:tcMar>
            <w:hideMark/>
          </w:tcPr>
          <w:p w14:paraId="78C69D39"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488" w:type="dxa"/>
            <w:gridSpan w:val="2"/>
            <w:tcMar>
              <w:top w:w="240" w:type="dxa"/>
              <w:left w:w="240" w:type="dxa"/>
              <w:bottom w:w="240" w:type="dxa"/>
              <w:right w:w="240" w:type="dxa"/>
            </w:tcMar>
            <w:hideMark/>
          </w:tcPr>
          <w:p w14:paraId="768A7989" w14:textId="77777777" w:rsidR="000D3836" w:rsidRDefault="000D3836">
            <w:pPr>
              <w:spacing w:after="240" w:line="384" w:lineRule="atLeast"/>
            </w:pPr>
            <w:r>
              <w:rPr>
                <w:rFonts w:ascii="Times New Roman" w:hAnsi="Times New Roman" w:cs="Times New Roman"/>
                <w:sz w:val="30"/>
                <w:szCs w:val="30"/>
                <w:lang w:eastAsia="en-AU"/>
              </w:rPr>
              <w:t>$417</w:t>
            </w:r>
          </w:p>
        </w:tc>
        <w:tc>
          <w:tcPr>
            <w:tcW w:w="2223" w:type="dxa"/>
            <w:gridSpan w:val="2"/>
            <w:tcMar>
              <w:top w:w="240" w:type="dxa"/>
              <w:left w:w="240" w:type="dxa"/>
              <w:bottom w:w="240" w:type="dxa"/>
              <w:right w:w="240" w:type="dxa"/>
            </w:tcMar>
            <w:hideMark/>
          </w:tcPr>
          <w:p w14:paraId="396567D8" w14:textId="77777777" w:rsidR="000D3836" w:rsidRDefault="000D3836">
            <w:pPr>
              <w:spacing w:after="240" w:line="384" w:lineRule="atLeast"/>
            </w:pPr>
            <w:r>
              <w:rPr>
                <w:rFonts w:ascii="Times New Roman" w:hAnsi="Times New Roman" w:cs="Times New Roman"/>
                <w:sz w:val="30"/>
                <w:szCs w:val="30"/>
                <w:lang w:eastAsia="en-AU"/>
              </w:rPr>
              <w:t>9.6%</w:t>
            </w:r>
          </w:p>
        </w:tc>
      </w:tr>
      <w:tr w:rsidR="000D3836" w14:paraId="079F2059"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7500BC14" w14:textId="77777777" w:rsidR="000D3836" w:rsidRDefault="000D3836">
            <w:pPr>
              <w:spacing w:after="240" w:line="384" w:lineRule="atLeast"/>
            </w:pPr>
            <w:proofErr w:type="spellStart"/>
            <w:r>
              <w:rPr>
                <w:rFonts w:ascii="Times New Roman" w:hAnsi="Times New Roman" w:cs="Times New Roman"/>
                <w:sz w:val="30"/>
                <w:szCs w:val="30"/>
                <w:lang w:eastAsia="en-AU"/>
              </w:rPr>
              <w:t>Hostplus</w:t>
            </w:r>
            <w:proofErr w:type="spellEnd"/>
            <w:r>
              <w:rPr>
                <w:rFonts w:ascii="Times New Roman" w:hAnsi="Times New Roman" w:cs="Times New Roman"/>
                <w:sz w:val="30"/>
                <w:szCs w:val="30"/>
                <w:lang w:eastAsia="en-AU"/>
              </w:rPr>
              <w:t xml:space="preserve"> – Balanced</w:t>
            </w:r>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383C452D"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7B36AE21" w14:textId="77777777" w:rsidR="000D3836" w:rsidRDefault="000D3836">
            <w:pPr>
              <w:spacing w:after="240" w:line="384" w:lineRule="atLeast"/>
            </w:pPr>
            <w:r>
              <w:rPr>
                <w:rFonts w:ascii="Times New Roman" w:hAnsi="Times New Roman" w:cs="Times New Roman"/>
                <w:sz w:val="30"/>
                <w:szCs w:val="30"/>
                <w:lang w:eastAsia="en-AU"/>
              </w:rPr>
              <w:t>$533</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7BC31F92" w14:textId="77777777" w:rsidR="000D3836" w:rsidRDefault="000D3836">
            <w:pPr>
              <w:spacing w:after="240" w:line="384" w:lineRule="atLeast"/>
            </w:pPr>
            <w:r>
              <w:rPr>
                <w:rFonts w:ascii="Times New Roman" w:hAnsi="Times New Roman" w:cs="Times New Roman"/>
                <w:sz w:val="30"/>
                <w:szCs w:val="30"/>
                <w:lang w:eastAsia="en-AU"/>
              </w:rPr>
              <w:t>9.5%</w:t>
            </w:r>
          </w:p>
        </w:tc>
      </w:tr>
      <w:tr w:rsidR="000D3836" w14:paraId="58DA1E6B"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7EA8B6FE" w14:textId="77777777" w:rsidR="000D3836" w:rsidRDefault="000D3836">
            <w:pPr>
              <w:spacing w:after="240" w:line="384" w:lineRule="atLeast"/>
            </w:pPr>
            <w:r>
              <w:rPr>
                <w:rFonts w:ascii="Times New Roman" w:hAnsi="Times New Roman" w:cs="Times New Roman"/>
                <w:sz w:val="30"/>
                <w:szCs w:val="30"/>
                <w:lang w:eastAsia="en-AU"/>
              </w:rPr>
              <w:t xml:space="preserve">UniSuper </w:t>
            </w:r>
            <w:proofErr w:type="spellStart"/>
            <w:r>
              <w:rPr>
                <w:rFonts w:ascii="Times New Roman" w:hAnsi="Times New Roman" w:cs="Times New Roman"/>
                <w:sz w:val="30"/>
                <w:szCs w:val="30"/>
                <w:lang w:eastAsia="en-AU"/>
              </w:rPr>
              <w:t>Accum</w:t>
            </w:r>
            <w:proofErr w:type="spellEnd"/>
            <w:r>
              <w:rPr>
                <w:rFonts w:ascii="Times New Roman" w:hAnsi="Times New Roman" w:cs="Times New Roman"/>
                <w:sz w:val="30"/>
                <w:szCs w:val="30"/>
                <w:lang w:eastAsia="en-AU"/>
              </w:rPr>
              <w:t xml:space="preserve"> (1) – Balanced</w:t>
            </w:r>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2981251D"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5A79804E" w14:textId="77777777" w:rsidR="000D3836" w:rsidRDefault="000D3836">
            <w:pPr>
              <w:spacing w:after="240" w:line="384" w:lineRule="atLeast"/>
            </w:pPr>
            <w:r>
              <w:rPr>
                <w:rFonts w:ascii="Times New Roman" w:hAnsi="Times New Roman" w:cs="Times New Roman"/>
                <w:sz w:val="30"/>
                <w:szCs w:val="30"/>
                <w:lang w:eastAsia="en-AU"/>
              </w:rPr>
              <w:t>$366</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023C2813" w14:textId="77777777" w:rsidR="000D3836" w:rsidRDefault="000D3836">
            <w:pPr>
              <w:spacing w:after="240" w:line="384" w:lineRule="atLeast"/>
            </w:pPr>
            <w:r>
              <w:rPr>
                <w:rFonts w:ascii="Times New Roman" w:hAnsi="Times New Roman" w:cs="Times New Roman"/>
                <w:sz w:val="30"/>
                <w:szCs w:val="30"/>
                <w:lang w:eastAsia="en-AU"/>
              </w:rPr>
              <w:t>9.4%</w:t>
            </w:r>
          </w:p>
        </w:tc>
      </w:tr>
      <w:tr w:rsidR="000D3836" w14:paraId="1B342264"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42CDCD95" w14:textId="77777777" w:rsidR="000D3836" w:rsidRDefault="000D3836">
            <w:pPr>
              <w:spacing w:after="240" w:line="384" w:lineRule="atLeast"/>
            </w:pPr>
            <w:r>
              <w:rPr>
                <w:rFonts w:ascii="Times New Roman" w:hAnsi="Times New Roman" w:cs="Times New Roman"/>
                <w:sz w:val="30"/>
                <w:szCs w:val="30"/>
                <w:lang w:eastAsia="en-AU"/>
              </w:rPr>
              <w:t xml:space="preserve">Cbus – Growth (Cbus </w:t>
            </w:r>
            <w:proofErr w:type="spellStart"/>
            <w:r>
              <w:rPr>
                <w:rFonts w:ascii="Times New Roman" w:hAnsi="Times New Roman" w:cs="Times New Roman"/>
                <w:sz w:val="30"/>
                <w:szCs w:val="30"/>
                <w:lang w:eastAsia="en-AU"/>
              </w:rPr>
              <w:t>MySuper</w:t>
            </w:r>
            <w:proofErr w:type="spellEnd"/>
            <w:r>
              <w:rPr>
                <w:rFonts w:ascii="Times New Roman" w:hAnsi="Times New Roman" w:cs="Times New Roman"/>
                <w:sz w:val="30"/>
                <w:szCs w:val="30"/>
                <w:lang w:eastAsia="en-AU"/>
              </w:rPr>
              <w:t>)</w:t>
            </w:r>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6C54AE62"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07B2DCF7" w14:textId="77777777" w:rsidR="000D3836" w:rsidRDefault="000D3836">
            <w:pPr>
              <w:spacing w:after="240" w:line="384" w:lineRule="atLeast"/>
            </w:pPr>
            <w:r>
              <w:rPr>
                <w:rFonts w:ascii="Times New Roman" w:hAnsi="Times New Roman" w:cs="Times New Roman"/>
                <w:sz w:val="30"/>
                <w:szCs w:val="30"/>
                <w:lang w:eastAsia="en-AU"/>
              </w:rPr>
              <w:t>$538</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73D3B0D7" w14:textId="77777777" w:rsidR="000D3836" w:rsidRDefault="000D3836">
            <w:pPr>
              <w:spacing w:after="240" w:line="384" w:lineRule="atLeast"/>
            </w:pPr>
            <w:r>
              <w:rPr>
                <w:rFonts w:ascii="Times New Roman" w:hAnsi="Times New Roman" w:cs="Times New Roman"/>
                <w:sz w:val="30"/>
                <w:szCs w:val="30"/>
                <w:lang w:eastAsia="en-AU"/>
              </w:rPr>
              <w:t>9.1%</w:t>
            </w:r>
          </w:p>
        </w:tc>
      </w:tr>
      <w:tr w:rsidR="000D3836" w14:paraId="7762A488"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3A181A97" w14:textId="77777777" w:rsidR="000D3836" w:rsidRDefault="000D3836">
            <w:pPr>
              <w:spacing w:after="240" w:line="384" w:lineRule="atLeast"/>
            </w:pPr>
            <w:r>
              <w:rPr>
                <w:rFonts w:ascii="Times New Roman" w:hAnsi="Times New Roman" w:cs="Times New Roman"/>
                <w:sz w:val="30"/>
                <w:szCs w:val="30"/>
                <w:lang w:eastAsia="en-AU"/>
              </w:rPr>
              <w:t xml:space="preserve">MTAA Super – My </w:t>
            </w:r>
            <w:proofErr w:type="spellStart"/>
            <w:r>
              <w:rPr>
                <w:rFonts w:ascii="Times New Roman" w:hAnsi="Times New Roman" w:cs="Times New Roman"/>
                <w:sz w:val="30"/>
                <w:szCs w:val="30"/>
                <w:lang w:eastAsia="en-AU"/>
              </w:rPr>
              <w:t>AutoSuper</w:t>
            </w:r>
            <w:proofErr w:type="spellEnd"/>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49C0D88A"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063FFD21" w14:textId="77777777" w:rsidR="000D3836" w:rsidRDefault="000D3836">
            <w:pPr>
              <w:spacing w:after="240" w:line="384" w:lineRule="atLeast"/>
            </w:pPr>
            <w:r>
              <w:rPr>
                <w:rFonts w:ascii="Times New Roman" w:hAnsi="Times New Roman" w:cs="Times New Roman"/>
                <w:sz w:val="30"/>
                <w:szCs w:val="30"/>
                <w:lang w:eastAsia="en-AU"/>
              </w:rPr>
              <w:t>$443</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5FDE8A0B" w14:textId="77777777" w:rsidR="000D3836" w:rsidRDefault="000D3836">
            <w:pPr>
              <w:spacing w:after="240" w:line="384" w:lineRule="atLeast"/>
            </w:pPr>
            <w:r>
              <w:rPr>
                <w:rFonts w:ascii="Times New Roman" w:hAnsi="Times New Roman" w:cs="Times New Roman"/>
                <w:sz w:val="30"/>
                <w:szCs w:val="30"/>
                <w:lang w:eastAsia="en-AU"/>
              </w:rPr>
              <w:t>9.1%</w:t>
            </w:r>
          </w:p>
        </w:tc>
      </w:tr>
      <w:tr w:rsidR="000D3836" w14:paraId="5CF2F928"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1E4EDBC3" w14:textId="77777777" w:rsidR="000D3836" w:rsidRDefault="000D3836">
            <w:pPr>
              <w:spacing w:after="240" w:line="384" w:lineRule="atLeast"/>
            </w:pPr>
            <w:proofErr w:type="spellStart"/>
            <w:r>
              <w:rPr>
                <w:rFonts w:ascii="Times New Roman" w:hAnsi="Times New Roman" w:cs="Times New Roman"/>
                <w:sz w:val="30"/>
                <w:szCs w:val="30"/>
                <w:lang w:eastAsia="en-AU"/>
              </w:rPr>
              <w:t>Sunsuper</w:t>
            </w:r>
            <w:proofErr w:type="spellEnd"/>
            <w:r>
              <w:rPr>
                <w:rFonts w:ascii="Times New Roman" w:hAnsi="Times New Roman" w:cs="Times New Roman"/>
                <w:sz w:val="30"/>
                <w:szCs w:val="30"/>
                <w:lang w:eastAsia="en-AU"/>
              </w:rPr>
              <w:t xml:space="preserve"> for Life – Balanced</w:t>
            </w:r>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5251801C"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1BAC9BD3" w14:textId="77777777" w:rsidR="000D3836" w:rsidRDefault="000D3836">
            <w:pPr>
              <w:spacing w:after="240" w:line="384" w:lineRule="atLeast"/>
            </w:pPr>
            <w:r>
              <w:rPr>
                <w:rFonts w:ascii="Times New Roman" w:hAnsi="Times New Roman" w:cs="Times New Roman"/>
                <w:sz w:val="30"/>
                <w:szCs w:val="30"/>
                <w:lang w:eastAsia="en-AU"/>
              </w:rPr>
              <w:t>$533</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47E2A579" w14:textId="77777777" w:rsidR="000D3836" w:rsidRDefault="000D3836">
            <w:pPr>
              <w:spacing w:after="240" w:line="384" w:lineRule="atLeast"/>
            </w:pPr>
            <w:r>
              <w:rPr>
                <w:rFonts w:ascii="Times New Roman" w:hAnsi="Times New Roman" w:cs="Times New Roman"/>
                <w:sz w:val="30"/>
                <w:szCs w:val="30"/>
                <w:lang w:eastAsia="en-AU"/>
              </w:rPr>
              <w:t>9.0%</w:t>
            </w:r>
          </w:p>
        </w:tc>
      </w:tr>
      <w:tr w:rsidR="000D3836" w14:paraId="1544F136"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704D6A71" w14:textId="77777777" w:rsidR="000D3836" w:rsidRDefault="000D3836">
            <w:pPr>
              <w:spacing w:after="240" w:line="384" w:lineRule="atLeast"/>
            </w:pPr>
            <w:r>
              <w:rPr>
                <w:rFonts w:ascii="Times New Roman" w:hAnsi="Times New Roman" w:cs="Times New Roman"/>
                <w:sz w:val="30"/>
                <w:szCs w:val="30"/>
                <w:lang w:eastAsia="en-AU"/>
              </w:rPr>
              <w:t xml:space="preserve">Mercy Super – </w:t>
            </w:r>
            <w:proofErr w:type="spellStart"/>
            <w:r>
              <w:rPr>
                <w:rFonts w:ascii="Times New Roman" w:hAnsi="Times New Roman" w:cs="Times New Roman"/>
                <w:sz w:val="30"/>
                <w:szCs w:val="30"/>
                <w:lang w:eastAsia="en-AU"/>
              </w:rPr>
              <w:t>MySuper</w:t>
            </w:r>
            <w:proofErr w:type="spellEnd"/>
            <w:r>
              <w:rPr>
                <w:rFonts w:ascii="Times New Roman" w:hAnsi="Times New Roman" w:cs="Times New Roman"/>
                <w:sz w:val="30"/>
                <w:szCs w:val="30"/>
                <w:lang w:eastAsia="en-AU"/>
              </w:rPr>
              <w:t xml:space="preserve"> Balanced</w:t>
            </w:r>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64F95501" w14:textId="77777777" w:rsidR="000D3836" w:rsidRDefault="000D3836">
            <w:pPr>
              <w:spacing w:after="240" w:line="384" w:lineRule="atLeast"/>
            </w:pPr>
            <w:r>
              <w:rPr>
                <w:rFonts w:ascii="Times New Roman" w:hAnsi="Times New Roman" w:cs="Times New Roman"/>
                <w:sz w:val="30"/>
                <w:szCs w:val="30"/>
                <w:lang w:eastAsia="en-AU"/>
              </w:rPr>
              <w:t>Corporate</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4C3EED31" w14:textId="77777777" w:rsidR="000D3836" w:rsidRDefault="000D3836">
            <w:pPr>
              <w:spacing w:after="240" w:line="384" w:lineRule="atLeast"/>
            </w:pPr>
            <w:r>
              <w:rPr>
                <w:rFonts w:ascii="Times New Roman" w:hAnsi="Times New Roman" w:cs="Times New Roman"/>
                <w:sz w:val="30"/>
                <w:szCs w:val="30"/>
                <w:lang w:eastAsia="en-AU"/>
              </w:rPr>
              <w:t>$660</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251E44DF" w14:textId="77777777" w:rsidR="000D3836" w:rsidRDefault="000D3836">
            <w:pPr>
              <w:spacing w:after="240" w:line="384" w:lineRule="atLeast"/>
            </w:pPr>
            <w:r>
              <w:rPr>
                <w:rFonts w:ascii="Times New Roman" w:hAnsi="Times New Roman" w:cs="Times New Roman"/>
                <w:sz w:val="30"/>
                <w:szCs w:val="30"/>
                <w:lang w:eastAsia="en-AU"/>
              </w:rPr>
              <w:t>9.0%</w:t>
            </w:r>
          </w:p>
        </w:tc>
      </w:tr>
      <w:tr w:rsidR="000D3836" w14:paraId="5A69861C" w14:textId="77777777" w:rsidTr="004855F7">
        <w:trPr>
          <w:gridAfter w:val="1"/>
          <w:wAfter w:w="990" w:type="dxa"/>
          <w:trHeight w:val="284"/>
        </w:trPr>
        <w:tc>
          <w:tcPr>
            <w:tcW w:w="3866" w:type="dxa"/>
            <w:gridSpan w:val="2"/>
            <w:tcBorders>
              <w:top w:val="single" w:sz="8" w:space="0" w:color="EEEEEE"/>
              <w:left w:val="nil"/>
              <w:bottom w:val="nil"/>
              <w:right w:val="nil"/>
            </w:tcBorders>
            <w:tcMar>
              <w:top w:w="240" w:type="dxa"/>
              <w:left w:w="240" w:type="dxa"/>
              <w:bottom w:w="240" w:type="dxa"/>
              <w:right w:w="240" w:type="dxa"/>
            </w:tcMar>
            <w:hideMark/>
          </w:tcPr>
          <w:p w14:paraId="10E66210" w14:textId="77777777" w:rsidR="000D3836" w:rsidRDefault="000D3836">
            <w:pPr>
              <w:spacing w:after="240" w:line="384" w:lineRule="atLeast"/>
            </w:pPr>
            <w:r>
              <w:rPr>
                <w:rFonts w:ascii="Times New Roman" w:hAnsi="Times New Roman" w:cs="Times New Roman"/>
                <w:sz w:val="30"/>
                <w:szCs w:val="30"/>
                <w:lang w:eastAsia="en-AU"/>
              </w:rPr>
              <w:lastRenderedPageBreak/>
              <w:t>QSuper – Balanced</w:t>
            </w:r>
          </w:p>
        </w:tc>
        <w:tc>
          <w:tcPr>
            <w:tcW w:w="2673" w:type="dxa"/>
            <w:gridSpan w:val="2"/>
            <w:tcBorders>
              <w:top w:val="single" w:sz="8" w:space="0" w:color="EEEEEE"/>
              <w:left w:val="nil"/>
              <w:bottom w:val="nil"/>
              <w:right w:val="nil"/>
            </w:tcBorders>
            <w:tcMar>
              <w:top w:w="240" w:type="dxa"/>
              <w:left w:w="240" w:type="dxa"/>
              <w:bottom w:w="240" w:type="dxa"/>
              <w:right w:w="240" w:type="dxa"/>
            </w:tcMar>
            <w:hideMark/>
          </w:tcPr>
          <w:p w14:paraId="714CB130" w14:textId="77777777" w:rsidR="000D3836" w:rsidRDefault="000D3836">
            <w:pPr>
              <w:spacing w:after="240" w:line="384" w:lineRule="atLeast"/>
            </w:pPr>
            <w:r>
              <w:rPr>
                <w:rFonts w:ascii="Times New Roman" w:hAnsi="Times New Roman" w:cs="Times New Roman"/>
                <w:sz w:val="30"/>
                <w:szCs w:val="30"/>
                <w:lang w:eastAsia="en-AU"/>
              </w:rPr>
              <w:t>Public sector</w:t>
            </w:r>
          </w:p>
        </w:tc>
        <w:tc>
          <w:tcPr>
            <w:tcW w:w="2488" w:type="dxa"/>
            <w:gridSpan w:val="2"/>
            <w:tcBorders>
              <w:top w:val="single" w:sz="8" w:space="0" w:color="EEEEEE"/>
              <w:left w:val="nil"/>
              <w:bottom w:val="nil"/>
              <w:right w:val="nil"/>
            </w:tcBorders>
            <w:tcMar>
              <w:top w:w="240" w:type="dxa"/>
              <w:left w:w="240" w:type="dxa"/>
              <w:bottom w:w="240" w:type="dxa"/>
              <w:right w:w="240" w:type="dxa"/>
            </w:tcMar>
            <w:hideMark/>
          </w:tcPr>
          <w:p w14:paraId="2636732D" w14:textId="77777777" w:rsidR="000D3836" w:rsidRDefault="000D3836">
            <w:pPr>
              <w:spacing w:after="240" w:line="384" w:lineRule="atLeast"/>
            </w:pPr>
            <w:r>
              <w:rPr>
                <w:rFonts w:ascii="Times New Roman" w:hAnsi="Times New Roman" w:cs="Times New Roman"/>
                <w:sz w:val="30"/>
                <w:szCs w:val="30"/>
                <w:lang w:eastAsia="en-AU"/>
              </w:rPr>
              <w:t>$415</w:t>
            </w:r>
          </w:p>
        </w:tc>
        <w:tc>
          <w:tcPr>
            <w:tcW w:w="2223" w:type="dxa"/>
            <w:gridSpan w:val="2"/>
            <w:tcBorders>
              <w:top w:val="single" w:sz="8" w:space="0" w:color="EEEEEE"/>
              <w:left w:val="nil"/>
              <w:bottom w:val="nil"/>
              <w:right w:val="nil"/>
            </w:tcBorders>
            <w:tcMar>
              <w:top w:w="240" w:type="dxa"/>
              <w:left w:w="240" w:type="dxa"/>
              <w:bottom w:w="240" w:type="dxa"/>
              <w:right w:w="240" w:type="dxa"/>
            </w:tcMar>
            <w:hideMark/>
          </w:tcPr>
          <w:p w14:paraId="11ED5F31" w14:textId="77777777" w:rsidR="000D3836" w:rsidRDefault="000D3836">
            <w:pPr>
              <w:spacing w:after="240" w:line="384" w:lineRule="atLeast"/>
            </w:pPr>
            <w:r>
              <w:rPr>
                <w:rFonts w:ascii="Times New Roman" w:hAnsi="Times New Roman" w:cs="Times New Roman"/>
                <w:sz w:val="30"/>
                <w:szCs w:val="30"/>
                <w:lang w:eastAsia="en-AU"/>
              </w:rPr>
              <w:t>8.9%</w:t>
            </w:r>
          </w:p>
        </w:tc>
      </w:tr>
      <w:tr w:rsidR="000D3836" w14:paraId="7D4853EE"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1D4AB990" w14:textId="77777777" w:rsidR="000D3836" w:rsidRDefault="000D3836">
            <w:pPr>
              <w:spacing w:after="240" w:line="384" w:lineRule="atLeast"/>
              <w:rPr>
                <w:rFonts w:ascii="Calibri" w:hAnsi="Calibri" w:cs="Calibri"/>
                <w:bCs w:val="0"/>
                <w:kern w:val="0"/>
                <w:sz w:val="22"/>
              </w:rPr>
            </w:pPr>
            <w:proofErr w:type="spellStart"/>
            <w:r>
              <w:rPr>
                <w:rFonts w:ascii="Times New Roman" w:hAnsi="Times New Roman" w:cs="Times New Roman"/>
                <w:sz w:val="30"/>
                <w:szCs w:val="30"/>
                <w:lang w:eastAsia="en-AU"/>
              </w:rPr>
              <w:t>CareSuper</w:t>
            </w:r>
            <w:proofErr w:type="spellEnd"/>
            <w:r>
              <w:rPr>
                <w:rFonts w:ascii="Times New Roman" w:hAnsi="Times New Roman" w:cs="Times New Roman"/>
                <w:sz w:val="30"/>
                <w:szCs w:val="30"/>
                <w:lang w:eastAsia="en-AU"/>
              </w:rPr>
              <w:t xml:space="preserve"> –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56BD9789"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426B54E3" w14:textId="77777777" w:rsidR="000D3836" w:rsidRDefault="000D3836">
            <w:pPr>
              <w:spacing w:after="240" w:line="384" w:lineRule="atLeast"/>
            </w:pPr>
            <w:r>
              <w:rPr>
                <w:rFonts w:ascii="Times New Roman" w:hAnsi="Times New Roman" w:cs="Times New Roman"/>
                <w:sz w:val="30"/>
                <w:szCs w:val="30"/>
                <w:lang w:eastAsia="en-AU"/>
              </w:rPr>
              <w:t>$583</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2AA45472" w14:textId="77777777" w:rsidR="000D3836" w:rsidRDefault="000D3836">
            <w:pPr>
              <w:spacing w:after="240" w:line="384" w:lineRule="atLeast"/>
            </w:pPr>
            <w:r>
              <w:rPr>
                <w:rFonts w:ascii="Times New Roman" w:hAnsi="Times New Roman" w:cs="Times New Roman"/>
                <w:sz w:val="30"/>
                <w:szCs w:val="30"/>
                <w:lang w:eastAsia="en-AU"/>
              </w:rPr>
              <w:t>8.7%</w:t>
            </w:r>
          </w:p>
        </w:tc>
      </w:tr>
      <w:tr w:rsidR="000D3836" w14:paraId="2E47254A"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5AC8CC58" w14:textId="77777777" w:rsidR="000D3836" w:rsidRDefault="000D3836">
            <w:pPr>
              <w:spacing w:after="240" w:line="384" w:lineRule="atLeast"/>
            </w:pPr>
            <w:r>
              <w:rPr>
                <w:rFonts w:ascii="Times New Roman" w:hAnsi="Times New Roman" w:cs="Times New Roman"/>
                <w:sz w:val="30"/>
                <w:szCs w:val="30"/>
                <w:lang w:eastAsia="en-AU"/>
              </w:rPr>
              <w:t>Media Super –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6454219C"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0A9A4F1E" w14:textId="77777777" w:rsidR="000D3836" w:rsidRDefault="000D3836">
            <w:pPr>
              <w:spacing w:after="240" w:line="384" w:lineRule="atLeast"/>
            </w:pPr>
            <w:r>
              <w:rPr>
                <w:rFonts w:ascii="Times New Roman" w:hAnsi="Times New Roman" w:cs="Times New Roman"/>
                <w:sz w:val="30"/>
                <w:szCs w:val="30"/>
                <w:lang w:eastAsia="en-AU"/>
              </w:rPr>
              <w:t>$510</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5CD9E586" w14:textId="77777777" w:rsidR="000D3836" w:rsidRDefault="000D3836">
            <w:pPr>
              <w:spacing w:after="240" w:line="384" w:lineRule="atLeast"/>
            </w:pPr>
            <w:r>
              <w:rPr>
                <w:rFonts w:ascii="Times New Roman" w:hAnsi="Times New Roman" w:cs="Times New Roman"/>
                <w:sz w:val="30"/>
                <w:szCs w:val="30"/>
                <w:lang w:eastAsia="en-AU"/>
              </w:rPr>
              <w:t>8.6%</w:t>
            </w:r>
          </w:p>
        </w:tc>
      </w:tr>
      <w:tr w:rsidR="000D3836" w14:paraId="4511A295"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7A6E5907" w14:textId="77777777" w:rsidR="000D3836" w:rsidRDefault="000D3836">
            <w:pPr>
              <w:spacing w:after="240" w:line="384" w:lineRule="atLeast"/>
            </w:pPr>
            <w:r>
              <w:rPr>
                <w:rFonts w:ascii="Times New Roman" w:hAnsi="Times New Roman" w:cs="Times New Roman"/>
                <w:sz w:val="30"/>
                <w:szCs w:val="30"/>
                <w:lang w:eastAsia="en-AU"/>
              </w:rPr>
              <w:t>Catholic Super – Balanced (</w:t>
            </w:r>
            <w:proofErr w:type="spellStart"/>
            <w:r>
              <w:rPr>
                <w:rFonts w:ascii="Times New Roman" w:hAnsi="Times New Roman" w:cs="Times New Roman"/>
                <w:sz w:val="30"/>
                <w:szCs w:val="30"/>
                <w:lang w:eastAsia="en-AU"/>
              </w:rPr>
              <w:t>MySuper</w:t>
            </w:r>
            <w:proofErr w:type="spellEnd"/>
            <w:r>
              <w:rPr>
                <w:rFonts w:ascii="Times New Roman" w:hAnsi="Times New Roman" w:cs="Times New Roman"/>
                <w:sz w:val="30"/>
                <w:szCs w:val="30"/>
                <w:lang w:eastAsia="en-AU"/>
              </w:rPr>
              <w:t>)</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765A56E1"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02C3E0F7" w14:textId="77777777" w:rsidR="000D3836" w:rsidRDefault="000D3836">
            <w:pPr>
              <w:spacing w:after="240" w:line="384" w:lineRule="atLeast"/>
            </w:pPr>
            <w:r>
              <w:rPr>
                <w:rFonts w:ascii="Times New Roman" w:hAnsi="Times New Roman" w:cs="Times New Roman"/>
                <w:sz w:val="30"/>
                <w:szCs w:val="30"/>
                <w:lang w:eastAsia="en-AU"/>
              </w:rPr>
              <w:t>$629</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2F9A1483" w14:textId="77777777" w:rsidR="000D3836" w:rsidRDefault="000D3836">
            <w:pPr>
              <w:spacing w:after="240" w:line="384" w:lineRule="atLeast"/>
            </w:pPr>
            <w:r>
              <w:rPr>
                <w:rFonts w:ascii="Times New Roman" w:hAnsi="Times New Roman" w:cs="Times New Roman"/>
                <w:sz w:val="30"/>
                <w:szCs w:val="30"/>
                <w:lang w:eastAsia="en-AU"/>
              </w:rPr>
              <w:t>8.5%</w:t>
            </w:r>
          </w:p>
        </w:tc>
      </w:tr>
      <w:tr w:rsidR="000D3836" w14:paraId="733A9D24"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5097196D" w14:textId="77777777" w:rsidR="000D3836" w:rsidRDefault="000D3836">
            <w:pPr>
              <w:spacing w:after="240" w:line="384" w:lineRule="atLeast"/>
            </w:pPr>
            <w:r>
              <w:rPr>
                <w:rFonts w:ascii="Times New Roman" w:hAnsi="Times New Roman" w:cs="Times New Roman"/>
                <w:sz w:val="30"/>
                <w:szCs w:val="30"/>
                <w:lang w:eastAsia="en-AU"/>
              </w:rPr>
              <w:t>HESTA – Core Pool</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4FB748A2"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456A471E" w14:textId="77777777" w:rsidR="000D3836" w:rsidRDefault="000D3836">
            <w:pPr>
              <w:spacing w:after="240" w:line="384" w:lineRule="atLeast"/>
            </w:pPr>
            <w:r>
              <w:rPr>
                <w:rFonts w:ascii="Times New Roman" w:hAnsi="Times New Roman" w:cs="Times New Roman"/>
                <w:sz w:val="30"/>
                <w:szCs w:val="30"/>
                <w:lang w:eastAsia="en-AU"/>
              </w:rPr>
              <w:t>$530</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193722B1" w14:textId="77777777" w:rsidR="000D3836" w:rsidRDefault="000D3836">
            <w:pPr>
              <w:spacing w:after="240" w:line="384" w:lineRule="atLeast"/>
            </w:pPr>
            <w:r>
              <w:rPr>
                <w:rFonts w:ascii="Times New Roman" w:hAnsi="Times New Roman" w:cs="Times New Roman"/>
                <w:sz w:val="30"/>
                <w:szCs w:val="30"/>
                <w:lang w:eastAsia="en-AU"/>
              </w:rPr>
              <w:t>8.4%</w:t>
            </w:r>
          </w:p>
        </w:tc>
      </w:tr>
      <w:tr w:rsidR="000D3836" w14:paraId="6499E3BE"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2AAB5ACD" w14:textId="77777777" w:rsidR="000D3836" w:rsidRDefault="000D3836">
            <w:pPr>
              <w:spacing w:after="240" w:line="384" w:lineRule="atLeast"/>
            </w:pPr>
            <w:r>
              <w:rPr>
                <w:rFonts w:ascii="Times New Roman" w:hAnsi="Times New Roman" w:cs="Times New Roman"/>
                <w:sz w:val="30"/>
                <w:szCs w:val="30"/>
                <w:lang w:eastAsia="en-AU"/>
              </w:rPr>
              <w:t xml:space="preserve">Equip </w:t>
            </w:r>
            <w:proofErr w:type="spellStart"/>
            <w:r>
              <w:rPr>
                <w:rFonts w:ascii="Times New Roman" w:hAnsi="Times New Roman" w:cs="Times New Roman"/>
                <w:sz w:val="30"/>
                <w:szCs w:val="30"/>
                <w:lang w:eastAsia="en-AU"/>
              </w:rPr>
              <w:t>MyFuture</w:t>
            </w:r>
            <w:proofErr w:type="spellEnd"/>
            <w:r>
              <w:rPr>
                <w:rFonts w:ascii="Times New Roman" w:hAnsi="Times New Roman" w:cs="Times New Roman"/>
                <w:sz w:val="30"/>
                <w:szCs w:val="30"/>
                <w:lang w:eastAsia="en-AU"/>
              </w:rPr>
              <w:t xml:space="preserve"> – Balanced Growth</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0AC73388"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17109FB5" w14:textId="77777777" w:rsidR="000D3836" w:rsidRDefault="000D3836">
            <w:pPr>
              <w:spacing w:after="240" w:line="384" w:lineRule="atLeast"/>
            </w:pPr>
            <w:r>
              <w:rPr>
                <w:rFonts w:ascii="Times New Roman" w:hAnsi="Times New Roman" w:cs="Times New Roman"/>
                <w:sz w:val="30"/>
                <w:szCs w:val="30"/>
                <w:lang w:eastAsia="en-AU"/>
              </w:rPr>
              <w:t>$432</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73CB982D" w14:textId="77777777" w:rsidR="000D3836" w:rsidRDefault="000D3836">
            <w:pPr>
              <w:spacing w:after="240" w:line="384" w:lineRule="atLeast"/>
            </w:pPr>
            <w:r>
              <w:rPr>
                <w:rFonts w:ascii="Times New Roman" w:hAnsi="Times New Roman" w:cs="Times New Roman"/>
                <w:sz w:val="30"/>
                <w:szCs w:val="30"/>
                <w:lang w:eastAsia="en-AU"/>
              </w:rPr>
              <w:t>8.4%</w:t>
            </w:r>
          </w:p>
        </w:tc>
      </w:tr>
      <w:tr w:rsidR="000D3836" w14:paraId="5213FBCE"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7EC2D15A" w14:textId="77777777" w:rsidR="000D3836" w:rsidRDefault="000D3836">
            <w:pPr>
              <w:spacing w:after="240" w:line="384" w:lineRule="atLeast"/>
            </w:pPr>
            <w:r>
              <w:rPr>
                <w:rFonts w:ascii="Times New Roman" w:hAnsi="Times New Roman" w:cs="Times New Roman"/>
                <w:sz w:val="30"/>
                <w:szCs w:val="30"/>
                <w:lang w:eastAsia="en-AU"/>
              </w:rPr>
              <w:t xml:space="preserve">Club Plus Super – </w:t>
            </w:r>
            <w:proofErr w:type="spellStart"/>
            <w:r>
              <w:rPr>
                <w:rFonts w:ascii="Times New Roman" w:hAnsi="Times New Roman" w:cs="Times New Roman"/>
                <w:sz w:val="30"/>
                <w:szCs w:val="30"/>
                <w:lang w:eastAsia="en-AU"/>
              </w:rPr>
              <w:t>MySuper</w:t>
            </w:r>
            <w:proofErr w:type="spellEnd"/>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12E66807"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2C31919C" w14:textId="77777777" w:rsidR="000D3836" w:rsidRDefault="000D3836">
            <w:pPr>
              <w:spacing w:after="240" w:line="384" w:lineRule="atLeast"/>
            </w:pPr>
            <w:r>
              <w:rPr>
                <w:rFonts w:ascii="Times New Roman" w:hAnsi="Times New Roman" w:cs="Times New Roman"/>
                <w:sz w:val="30"/>
                <w:szCs w:val="30"/>
                <w:lang w:eastAsia="en-AU"/>
              </w:rPr>
              <w:t>$599</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04ABE8F0" w14:textId="77777777" w:rsidR="000D3836" w:rsidRDefault="000D3836">
            <w:pPr>
              <w:spacing w:after="240" w:line="384" w:lineRule="atLeast"/>
            </w:pPr>
            <w:r>
              <w:rPr>
                <w:rFonts w:ascii="Times New Roman" w:hAnsi="Times New Roman" w:cs="Times New Roman"/>
                <w:sz w:val="30"/>
                <w:szCs w:val="30"/>
                <w:lang w:eastAsia="en-AU"/>
              </w:rPr>
              <w:t>8.4%</w:t>
            </w:r>
          </w:p>
        </w:tc>
      </w:tr>
      <w:tr w:rsidR="000D3836" w14:paraId="1A5616B8"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63AFE5A6" w14:textId="77777777" w:rsidR="000D3836" w:rsidRDefault="000D3836">
            <w:pPr>
              <w:spacing w:after="240" w:line="384" w:lineRule="atLeast"/>
            </w:pPr>
            <w:proofErr w:type="spellStart"/>
            <w:r>
              <w:rPr>
                <w:rFonts w:ascii="Times New Roman" w:hAnsi="Times New Roman" w:cs="Times New Roman"/>
                <w:sz w:val="30"/>
                <w:szCs w:val="30"/>
                <w:lang w:eastAsia="en-AU"/>
              </w:rPr>
              <w:t>VicSuper</w:t>
            </w:r>
            <w:proofErr w:type="spellEnd"/>
            <w:r>
              <w:rPr>
                <w:rFonts w:ascii="Times New Roman" w:hAnsi="Times New Roman" w:cs="Times New Roman"/>
                <w:sz w:val="30"/>
                <w:szCs w:val="30"/>
                <w:lang w:eastAsia="en-AU"/>
              </w:rPr>
              <w:t xml:space="preserve"> </w:t>
            </w:r>
            <w:proofErr w:type="spellStart"/>
            <w:r>
              <w:rPr>
                <w:rFonts w:ascii="Times New Roman" w:hAnsi="Times New Roman" w:cs="Times New Roman"/>
                <w:sz w:val="30"/>
                <w:szCs w:val="30"/>
                <w:lang w:eastAsia="en-AU"/>
              </w:rPr>
              <w:t>FutureSaver</w:t>
            </w:r>
            <w:proofErr w:type="spellEnd"/>
            <w:r>
              <w:rPr>
                <w:rFonts w:ascii="Times New Roman" w:hAnsi="Times New Roman" w:cs="Times New Roman"/>
                <w:sz w:val="30"/>
                <w:szCs w:val="30"/>
                <w:lang w:eastAsia="en-AU"/>
              </w:rPr>
              <w:t xml:space="preserve"> – Growth (</w:t>
            </w:r>
            <w:proofErr w:type="spellStart"/>
            <w:r>
              <w:rPr>
                <w:rFonts w:ascii="Times New Roman" w:hAnsi="Times New Roman" w:cs="Times New Roman"/>
                <w:sz w:val="30"/>
                <w:szCs w:val="30"/>
                <w:lang w:eastAsia="en-AU"/>
              </w:rPr>
              <w:t>MySuper</w:t>
            </w:r>
            <w:proofErr w:type="spellEnd"/>
            <w:r>
              <w:rPr>
                <w:rFonts w:ascii="Times New Roman" w:hAnsi="Times New Roman" w:cs="Times New Roman"/>
                <w:sz w:val="30"/>
                <w:szCs w:val="30"/>
                <w:lang w:eastAsia="en-AU"/>
              </w:rPr>
              <w:t>) Option</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6E0A0D02"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12A201A9" w14:textId="77777777" w:rsidR="000D3836" w:rsidRDefault="000D3836">
            <w:pPr>
              <w:spacing w:after="240" w:line="384" w:lineRule="atLeast"/>
            </w:pPr>
            <w:r>
              <w:rPr>
                <w:rFonts w:ascii="Times New Roman" w:hAnsi="Times New Roman" w:cs="Times New Roman"/>
                <w:sz w:val="30"/>
                <w:szCs w:val="30"/>
                <w:lang w:eastAsia="en-AU"/>
              </w:rPr>
              <w:t>$588</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6C2674A7" w14:textId="77777777" w:rsidR="000D3836" w:rsidRDefault="000D3836">
            <w:pPr>
              <w:spacing w:after="240" w:line="384" w:lineRule="atLeast"/>
            </w:pPr>
            <w:r>
              <w:rPr>
                <w:rFonts w:ascii="Times New Roman" w:hAnsi="Times New Roman" w:cs="Times New Roman"/>
                <w:sz w:val="30"/>
                <w:szCs w:val="30"/>
                <w:lang w:eastAsia="en-AU"/>
              </w:rPr>
              <w:t>8.4%</w:t>
            </w:r>
          </w:p>
        </w:tc>
      </w:tr>
      <w:tr w:rsidR="000D3836" w14:paraId="1F899E25"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73B2419F" w14:textId="77777777" w:rsidR="000D3836" w:rsidRDefault="000D3836">
            <w:pPr>
              <w:spacing w:after="240" w:line="384" w:lineRule="atLeast"/>
            </w:pPr>
            <w:r>
              <w:rPr>
                <w:rFonts w:ascii="Times New Roman" w:hAnsi="Times New Roman" w:cs="Times New Roman"/>
                <w:sz w:val="30"/>
                <w:szCs w:val="30"/>
                <w:lang w:eastAsia="en-AU"/>
              </w:rPr>
              <w:t xml:space="preserve">Intrust Core Super – </w:t>
            </w:r>
            <w:proofErr w:type="spellStart"/>
            <w:r>
              <w:rPr>
                <w:rFonts w:ascii="Times New Roman" w:hAnsi="Times New Roman" w:cs="Times New Roman"/>
                <w:sz w:val="30"/>
                <w:szCs w:val="30"/>
                <w:lang w:eastAsia="en-AU"/>
              </w:rPr>
              <w:t>MySuper</w:t>
            </w:r>
            <w:proofErr w:type="spellEnd"/>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188C541F"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5A83D757" w14:textId="77777777" w:rsidR="000D3836" w:rsidRDefault="000D3836">
            <w:pPr>
              <w:spacing w:after="240" w:line="384" w:lineRule="atLeast"/>
            </w:pPr>
            <w:r>
              <w:rPr>
                <w:rFonts w:ascii="Times New Roman" w:hAnsi="Times New Roman" w:cs="Times New Roman"/>
                <w:sz w:val="30"/>
                <w:szCs w:val="30"/>
                <w:lang w:eastAsia="en-AU"/>
              </w:rPr>
              <w:t>$558</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0EE919A6" w14:textId="77777777" w:rsidR="000D3836" w:rsidRDefault="000D3836">
            <w:pPr>
              <w:spacing w:after="240" w:line="384" w:lineRule="atLeast"/>
            </w:pPr>
            <w:r>
              <w:rPr>
                <w:rFonts w:ascii="Times New Roman" w:hAnsi="Times New Roman" w:cs="Times New Roman"/>
                <w:sz w:val="30"/>
                <w:szCs w:val="30"/>
                <w:lang w:eastAsia="en-AU"/>
              </w:rPr>
              <w:t>8.4%</w:t>
            </w:r>
          </w:p>
        </w:tc>
      </w:tr>
      <w:tr w:rsidR="000D3836" w14:paraId="6D3D6356"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7D84A4B0" w14:textId="77777777" w:rsidR="000D3836" w:rsidRDefault="000D3836">
            <w:pPr>
              <w:spacing w:after="240" w:line="384" w:lineRule="atLeast"/>
            </w:pPr>
            <w:r>
              <w:rPr>
                <w:rFonts w:ascii="Times New Roman" w:hAnsi="Times New Roman" w:cs="Times New Roman"/>
                <w:sz w:val="30"/>
                <w:szCs w:val="30"/>
                <w:lang w:eastAsia="en-AU"/>
              </w:rPr>
              <w:t>First State Super – Growth</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64AEFD6E"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283D4ACA" w14:textId="77777777" w:rsidR="000D3836" w:rsidRDefault="000D3836">
            <w:pPr>
              <w:spacing w:after="240" w:line="384" w:lineRule="atLeast"/>
            </w:pPr>
            <w:r>
              <w:rPr>
                <w:rFonts w:ascii="Times New Roman" w:hAnsi="Times New Roman" w:cs="Times New Roman"/>
                <w:sz w:val="30"/>
                <w:szCs w:val="30"/>
                <w:lang w:eastAsia="en-AU"/>
              </w:rPr>
              <w:t>$527</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526AFB74" w14:textId="77777777" w:rsidR="000D3836" w:rsidRDefault="000D3836">
            <w:pPr>
              <w:spacing w:after="240" w:line="384" w:lineRule="atLeast"/>
            </w:pPr>
            <w:r>
              <w:rPr>
                <w:rFonts w:ascii="Times New Roman" w:hAnsi="Times New Roman" w:cs="Times New Roman"/>
                <w:sz w:val="30"/>
                <w:szCs w:val="30"/>
                <w:lang w:eastAsia="en-AU"/>
              </w:rPr>
              <w:t>8.4%</w:t>
            </w:r>
          </w:p>
        </w:tc>
      </w:tr>
      <w:tr w:rsidR="000D3836" w14:paraId="32A3AAEB"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6718BE0B" w14:textId="77777777" w:rsidR="000D3836" w:rsidRDefault="000D3836">
            <w:pPr>
              <w:spacing w:after="240" w:line="384" w:lineRule="atLeast"/>
            </w:pPr>
            <w:r>
              <w:rPr>
                <w:rFonts w:ascii="Times New Roman" w:hAnsi="Times New Roman" w:cs="Times New Roman"/>
                <w:sz w:val="30"/>
                <w:szCs w:val="30"/>
                <w:lang w:eastAsia="en-AU"/>
              </w:rPr>
              <w:lastRenderedPageBreak/>
              <w:t>Vision SS – Balanced Growth</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3B3FAA1A"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146D75D3" w14:textId="77777777" w:rsidR="000D3836" w:rsidRDefault="000D3836">
            <w:pPr>
              <w:spacing w:after="240" w:line="384" w:lineRule="atLeast"/>
            </w:pPr>
            <w:r>
              <w:rPr>
                <w:rFonts w:ascii="Times New Roman" w:hAnsi="Times New Roman" w:cs="Times New Roman"/>
                <w:sz w:val="30"/>
                <w:szCs w:val="30"/>
                <w:lang w:eastAsia="en-AU"/>
              </w:rPr>
              <w:t>$498</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464DD2FA" w14:textId="77777777" w:rsidR="000D3836" w:rsidRDefault="000D3836">
            <w:pPr>
              <w:spacing w:after="240" w:line="384" w:lineRule="atLeast"/>
            </w:pPr>
            <w:r>
              <w:rPr>
                <w:rFonts w:ascii="Times New Roman" w:hAnsi="Times New Roman" w:cs="Times New Roman"/>
                <w:sz w:val="30"/>
                <w:szCs w:val="30"/>
                <w:lang w:eastAsia="en-AU"/>
              </w:rPr>
              <w:t>8.3%</w:t>
            </w:r>
          </w:p>
        </w:tc>
      </w:tr>
      <w:tr w:rsidR="000D3836" w14:paraId="4AF2F629"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4BE0DB01" w14:textId="77777777" w:rsidR="000D3836" w:rsidRDefault="000D3836">
            <w:pPr>
              <w:spacing w:after="240" w:line="384" w:lineRule="atLeast"/>
            </w:pPr>
            <w:r>
              <w:rPr>
                <w:rFonts w:ascii="Times New Roman" w:hAnsi="Times New Roman" w:cs="Times New Roman"/>
                <w:sz w:val="30"/>
                <w:szCs w:val="30"/>
                <w:lang w:eastAsia="en-AU"/>
              </w:rPr>
              <w:t xml:space="preserve">Local Government Super </w:t>
            </w:r>
            <w:proofErr w:type="spellStart"/>
            <w:r>
              <w:rPr>
                <w:rFonts w:ascii="Times New Roman" w:hAnsi="Times New Roman" w:cs="Times New Roman"/>
                <w:sz w:val="30"/>
                <w:szCs w:val="30"/>
                <w:lang w:eastAsia="en-AU"/>
              </w:rPr>
              <w:t>Accum</w:t>
            </w:r>
            <w:proofErr w:type="spellEnd"/>
            <w:r>
              <w:rPr>
                <w:rFonts w:ascii="Times New Roman" w:hAnsi="Times New Roman" w:cs="Times New Roman"/>
                <w:sz w:val="30"/>
                <w:szCs w:val="30"/>
                <w:lang w:eastAsia="en-AU"/>
              </w:rPr>
              <w:t xml:space="preserve"> – Balanced Growth</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0C3E82D8"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552E44E6" w14:textId="77777777" w:rsidR="000D3836" w:rsidRDefault="000D3836">
            <w:pPr>
              <w:spacing w:after="240" w:line="384" w:lineRule="atLeast"/>
            </w:pPr>
            <w:r>
              <w:rPr>
                <w:rFonts w:ascii="Times New Roman" w:hAnsi="Times New Roman" w:cs="Times New Roman"/>
                <w:sz w:val="30"/>
                <w:szCs w:val="30"/>
                <w:lang w:eastAsia="en-AU"/>
              </w:rPr>
              <w:t>$636</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6B1620BD" w14:textId="77777777" w:rsidR="000D3836" w:rsidRDefault="000D3836">
            <w:pPr>
              <w:spacing w:after="240" w:line="384" w:lineRule="atLeast"/>
            </w:pPr>
            <w:r>
              <w:rPr>
                <w:rFonts w:ascii="Times New Roman" w:hAnsi="Times New Roman" w:cs="Times New Roman"/>
                <w:sz w:val="30"/>
                <w:szCs w:val="30"/>
                <w:lang w:eastAsia="en-AU"/>
              </w:rPr>
              <w:t>8.1%</w:t>
            </w:r>
          </w:p>
        </w:tc>
      </w:tr>
      <w:tr w:rsidR="000D3836" w14:paraId="520B6EDB"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65DA5457" w14:textId="77777777" w:rsidR="000D3836" w:rsidRDefault="000D3836">
            <w:pPr>
              <w:spacing w:after="240" w:line="384" w:lineRule="atLeast"/>
            </w:pPr>
            <w:r>
              <w:rPr>
                <w:rFonts w:ascii="Times New Roman" w:hAnsi="Times New Roman" w:cs="Times New Roman"/>
                <w:sz w:val="30"/>
                <w:szCs w:val="30"/>
                <w:lang w:eastAsia="en-AU"/>
              </w:rPr>
              <w:t>Aust Ethical Pers –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03E27875" w14:textId="77777777" w:rsidR="000D3836" w:rsidRDefault="000D3836">
            <w:pPr>
              <w:spacing w:after="240" w:line="384" w:lineRule="atLeast"/>
            </w:pPr>
            <w:r>
              <w:rPr>
                <w:rFonts w:ascii="Times New Roman" w:hAnsi="Times New Roman" w:cs="Times New Roman"/>
                <w:sz w:val="30"/>
                <w:szCs w:val="30"/>
                <w:lang w:eastAsia="en-AU"/>
              </w:rPr>
              <w:t>Retail</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2233D4BB" w14:textId="77777777" w:rsidR="000D3836" w:rsidRDefault="000D3836">
            <w:pPr>
              <w:spacing w:after="240" w:line="384" w:lineRule="atLeast"/>
            </w:pPr>
            <w:r>
              <w:rPr>
                <w:rFonts w:ascii="Times New Roman" w:hAnsi="Times New Roman" w:cs="Times New Roman"/>
                <w:sz w:val="30"/>
                <w:szCs w:val="30"/>
                <w:lang w:eastAsia="en-AU"/>
              </w:rPr>
              <w:t>$657</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3974D490" w14:textId="77777777" w:rsidR="000D3836" w:rsidRDefault="000D3836">
            <w:pPr>
              <w:spacing w:after="240" w:line="384" w:lineRule="atLeast"/>
            </w:pPr>
            <w:r>
              <w:rPr>
                <w:rFonts w:ascii="Times New Roman" w:hAnsi="Times New Roman" w:cs="Times New Roman"/>
                <w:sz w:val="30"/>
                <w:szCs w:val="30"/>
                <w:lang w:eastAsia="en-AU"/>
              </w:rPr>
              <w:t>8.1%</w:t>
            </w:r>
          </w:p>
        </w:tc>
      </w:tr>
      <w:tr w:rsidR="000D3836" w14:paraId="45B7C73A"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1BA89988" w14:textId="77777777" w:rsidR="000D3836" w:rsidRDefault="000D3836">
            <w:pPr>
              <w:spacing w:after="240" w:line="384" w:lineRule="atLeast"/>
            </w:pPr>
            <w:r>
              <w:rPr>
                <w:rFonts w:ascii="Times New Roman" w:hAnsi="Times New Roman" w:cs="Times New Roman"/>
                <w:sz w:val="30"/>
                <w:szCs w:val="30"/>
                <w:lang w:eastAsia="en-AU"/>
              </w:rPr>
              <w:t>NGS Super – Diversified (</w:t>
            </w:r>
            <w:proofErr w:type="spellStart"/>
            <w:r>
              <w:rPr>
                <w:rFonts w:ascii="Times New Roman" w:hAnsi="Times New Roman" w:cs="Times New Roman"/>
                <w:sz w:val="30"/>
                <w:szCs w:val="30"/>
                <w:lang w:eastAsia="en-AU"/>
              </w:rPr>
              <w:t>MySuper</w:t>
            </w:r>
            <w:proofErr w:type="spellEnd"/>
            <w:r>
              <w:rPr>
                <w:rFonts w:ascii="Times New Roman" w:hAnsi="Times New Roman" w:cs="Times New Roman"/>
                <w:sz w:val="30"/>
                <w:szCs w:val="30"/>
                <w:lang w:eastAsia="en-AU"/>
              </w:rPr>
              <w:t>)</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2E16C54F"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3A9C2571" w14:textId="77777777" w:rsidR="000D3836" w:rsidRDefault="000D3836">
            <w:pPr>
              <w:spacing w:after="240" w:line="384" w:lineRule="atLeast"/>
            </w:pPr>
            <w:r>
              <w:rPr>
                <w:rFonts w:ascii="Times New Roman" w:hAnsi="Times New Roman" w:cs="Times New Roman"/>
                <w:sz w:val="30"/>
                <w:szCs w:val="30"/>
                <w:lang w:eastAsia="en-AU"/>
              </w:rPr>
              <w:t>$615</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13552D4E" w14:textId="77777777" w:rsidR="000D3836" w:rsidRDefault="000D3836">
            <w:pPr>
              <w:spacing w:after="240" w:line="384" w:lineRule="atLeast"/>
            </w:pPr>
            <w:r>
              <w:rPr>
                <w:rFonts w:ascii="Times New Roman" w:hAnsi="Times New Roman" w:cs="Times New Roman"/>
                <w:sz w:val="30"/>
                <w:szCs w:val="30"/>
                <w:lang w:eastAsia="en-AU"/>
              </w:rPr>
              <w:t>8.1%</w:t>
            </w:r>
          </w:p>
        </w:tc>
      </w:tr>
      <w:tr w:rsidR="000D3836" w14:paraId="4C04D590"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3662D742" w14:textId="77777777" w:rsidR="000D3836" w:rsidRDefault="000D3836">
            <w:pPr>
              <w:spacing w:after="240" w:line="384" w:lineRule="atLeast"/>
            </w:pPr>
            <w:r>
              <w:rPr>
                <w:rFonts w:ascii="Times New Roman" w:hAnsi="Times New Roman" w:cs="Times New Roman"/>
                <w:sz w:val="30"/>
                <w:szCs w:val="30"/>
                <w:lang w:eastAsia="en-AU"/>
              </w:rPr>
              <w:t xml:space="preserve">MLC </w:t>
            </w:r>
            <w:proofErr w:type="spellStart"/>
            <w:r>
              <w:rPr>
                <w:rFonts w:ascii="Times New Roman" w:hAnsi="Times New Roman" w:cs="Times New Roman"/>
                <w:sz w:val="30"/>
                <w:szCs w:val="30"/>
                <w:lang w:eastAsia="en-AU"/>
              </w:rPr>
              <w:t>MKey</w:t>
            </w:r>
            <w:proofErr w:type="spellEnd"/>
            <w:r>
              <w:rPr>
                <w:rFonts w:ascii="Times New Roman" w:hAnsi="Times New Roman" w:cs="Times New Roman"/>
                <w:sz w:val="30"/>
                <w:szCs w:val="30"/>
                <w:lang w:eastAsia="en-AU"/>
              </w:rPr>
              <w:t xml:space="preserve"> – Horizon 4 – Balanced Portfolio</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08E8DAFE" w14:textId="77777777" w:rsidR="000D3836" w:rsidRDefault="000D3836">
            <w:pPr>
              <w:spacing w:after="240" w:line="384" w:lineRule="atLeast"/>
            </w:pPr>
            <w:r>
              <w:rPr>
                <w:rFonts w:ascii="Times New Roman" w:hAnsi="Times New Roman" w:cs="Times New Roman"/>
                <w:sz w:val="30"/>
                <w:szCs w:val="30"/>
                <w:lang w:eastAsia="en-AU"/>
              </w:rPr>
              <w:t>Retail</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6825F7D8" w14:textId="77777777" w:rsidR="000D3836" w:rsidRDefault="000D3836">
            <w:pPr>
              <w:spacing w:after="240" w:line="384" w:lineRule="atLeast"/>
            </w:pPr>
            <w:r>
              <w:rPr>
                <w:rFonts w:ascii="Times New Roman" w:hAnsi="Times New Roman" w:cs="Times New Roman"/>
                <w:sz w:val="30"/>
                <w:szCs w:val="30"/>
                <w:lang w:eastAsia="en-AU"/>
              </w:rPr>
              <w:t>$913</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13A214CE" w14:textId="77777777" w:rsidR="000D3836" w:rsidRDefault="000D3836">
            <w:pPr>
              <w:spacing w:after="240" w:line="384" w:lineRule="atLeast"/>
            </w:pPr>
            <w:r>
              <w:rPr>
                <w:rFonts w:ascii="Times New Roman" w:hAnsi="Times New Roman" w:cs="Times New Roman"/>
                <w:sz w:val="30"/>
                <w:szCs w:val="30"/>
                <w:lang w:eastAsia="en-AU"/>
              </w:rPr>
              <w:t>7.9%</w:t>
            </w:r>
          </w:p>
        </w:tc>
      </w:tr>
      <w:tr w:rsidR="000D3836" w14:paraId="5FE0E9E4"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7081CE06" w14:textId="77777777" w:rsidR="000D3836" w:rsidRDefault="000D3836">
            <w:pPr>
              <w:spacing w:after="240" w:line="384" w:lineRule="atLeast"/>
            </w:pPr>
            <w:r>
              <w:rPr>
                <w:rFonts w:ascii="Times New Roman" w:hAnsi="Times New Roman" w:cs="Times New Roman"/>
                <w:sz w:val="30"/>
                <w:szCs w:val="30"/>
                <w:lang w:eastAsia="en-AU"/>
              </w:rPr>
              <w:t>AMIST Super –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3EC9BEC8"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5CA8C935" w14:textId="77777777" w:rsidR="000D3836" w:rsidRDefault="000D3836">
            <w:pPr>
              <w:spacing w:after="240" w:line="384" w:lineRule="atLeast"/>
            </w:pPr>
            <w:r>
              <w:rPr>
                <w:rFonts w:ascii="Times New Roman" w:hAnsi="Times New Roman" w:cs="Times New Roman"/>
                <w:sz w:val="30"/>
                <w:szCs w:val="30"/>
                <w:lang w:eastAsia="en-AU"/>
              </w:rPr>
              <w:t>$423</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523BEC31" w14:textId="77777777" w:rsidR="000D3836" w:rsidRDefault="000D3836">
            <w:pPr>
              <w:spacing w:after="240" w:line="384" w:lineRule="atLeast"/>
            </w:pPr>
            <w:r>
              <w:rPr>
                <w:rFonts w:ascii="Times New Roman" w:hAnsi="Times New Roman" w:cs="Times New Roman"/>
                <w:sz w:val="30"/>
                <w:szCs w:val="30"/>
                <w:lang w:eastAsia="en-AU"/>
              </w:rPr>
              <w:t>7.9%</w:t>
            </w:r>
          </w:p>
        </w:tc>
      </w:tr>
      <w:tr w:rsidR="000D3836" w14:paraId="549B5483"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5279C4B7" w14:textId="77777777" w:rsidR="000D3836" w:rsidRDefault="000D3836">
            <w:pPr>
              <w:spacing w:after="240" w:line="384" w:lineRule="atLeast"/>
            </w:pPr>
            <w:r>
              <w:rPr>
                <w:rFonts w:ascii="Times New Roman" w:hAnsi="Times New Roman" w:cs="Times New Roman"/>
                <w:sz w:val="30"/>
                <w:szCs w:val="30"/>
                <w:lang w:eastAsia="en-AU"/>
              </w:rPr>
              <w:t>Energy Super –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247C881C"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587E55AA" w14:textId="77777777" w:rsidR="000D3836" w:rsidRDefault="000D3836">
            <w:pPr>
              <w:spacing w:after="240" w:line="384" w:lineRule="atLeast"/>
            </w:pPr>
            <w:r>
              <w:rPr>
                <w:rFonts w:ascii="Times New Roman" w:hAnsi="Times New Roman" w:cs="Times New Roman"/>
                <w:sz w:val="30"/>
                <w:szCs w:val="30"/>
                <w:lang w:eastAsia="en-AU"/>
              </w:rPr>
              <w:t>$512</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01A93D25" w14:textId="77777777" w:rsidR="000D3836" w:rsidRDefault="000D3836">
            <w:pPr>
              <w:spacing w:after="240" w:line="384" w:lineRule="atLeast"/>
            </w:pPr>
            <w:r>
              <w:rPr>
                <w:rFonts w:ascii="Times New Roman" w:hAnsi="Times New Roman" w:cs="Times New Roman"/>
                <w:sz w:val="30"/>
                <w:szCs w:val="30"/>
                <w:lang w:eastAsia="en-AU"/>
              </w:rPr>
              <w:t>7.8%</w:t>
            </w:r>
          </w:p>
        </w:tc>
      </w:tr>
      <w:tr w:rsidR="000D3836" w14:paraId="576BFBD1"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6605F58A" w14:textId="77777777" w:rsidR="000D3836" w:rsidRDefault="000D3836">
            <w:pPr>
              <w:spacing w:after="240" w:line="384" w:lineRule="atLeast"/>
            </w:pPr>
            <w:proofErr w:type="spellStart"/>
            <w:r>
              <w:rPr>
                <w:rFonts w:ascii="Times New Roman" w:hAnsi="Times New Roman" w:cs="Times New Roman"/>
                <w:sz w:val="30"/>
                <w:szCs w:val="30"/>
                <w:lang w:eastAsia="en-AU"/>
              </w:rPr>
              <w:t>LGIAsuper</w:t>
            </w:r>
            <w:proofErr w:type="spellEnd"/>
            <w:r>
              <w:rPr>
                <w:rFonts w:ascii="Times New Roman" w:hAnsi="Times New Roman" w:cs="Times New Roman"/>
                <w:sz w:val="30"/>
                <w:szCs w:val="30"/>
                <w:lang w:eastAsia="en-AU"/>
              </w:rPr>
              <w:t xml:space="preserve"> </w:t>
            </w:r>
            <w:proofErr w:type="spellStart"/>
            <w:r>
              <w:rPr>
                <w:rFonts w:ascii="Times New Roman" w:hAnsi="Times New Roman" w:cs="Times New Roman"/>
                <w:sz w:val="30"/>
                <w:szCs w:val="30"/>
                <w:lang w:eastAsia="en-AU"/>
              </w:rPr>
              <w:t>Accum</w:t>
            </w:r>
            <w:proofErr w:type="spellEnd"/>
            <w:r>
              <w:rPr>
                <w:rFonts w:ascii="Times New Roman" w:hAnsi="Times New Roman" w:cs="Times New Roman"/>
                <w:sz w:val="30"/>
                <w:szCs w:val="30"/>
                <w:lang w:eastAsia="en-AU"/>
              </w:rPr>
              <w:t xml:space="preserve"> – Diversified Growth*</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0DA98D2C" w14:textId="77777777" w:rsidR="000D3836" w:rsidRDefault="000D3836">
            <w:pPr>
              <w:spacing w:after="240" w:line="384" w:lineRule="atLeast"/>
            </w:pPr>
            <w:r>
              <w:rPr>
                <w:rFonts w:ascii="Times New Roman" w:hAnsi="Times New Roman" w:cs="Times New Roman"/>
                <w:sz w:val="30"/>
                <w:szCs w:val="30"/>
                <w:lang w:eastAsia="en-AU"/>
              </w:rPr>
              <w:t>Industry</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3C9982E3" w14:textId="77777777" w:rsidR="000D3836" w:rsidRDefault="000D3836">
            <w:pPr>
              <w:spacing w:after="240" w:line="384" w:lineRule="atLeast"/>
            </w:pPr>
            <w:r>
              <w:rPr>
                <w:rFonts w:ascii="Times New Roman" w:hAnsi="Times New Roman" w:cs="Times New Roman"/>
                <w:sz w:val="30"/>
                <w:szCs w:val="30"/>
                <w:lang w:eastAsia="en-AU"/>
              </w:rPr>
              <w:t>$598</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683F1741" w14:textId="77777777" w:rsidR="000D3836" w:rsidRDefault="000D3836">
            <w:pPr>
              <w:spacing w:after="240" w:line="384" w:lineRule="atLeast"/>
            </w:pPr>
            <w:r>
              <w:rPr>
                <w:rFonts w:ascii="Times New Roman" w:hAnsi="Times New Roman" w:cs="Times New Roman"/>
                <w:sz w:val="30"/>
                <w:szCs w:val="30"/>
                <w:lang w:eastAsia="en-AU"/>
              </w:rPr>
              <w:t>7.8%</w:t>
            </w:r>
          </w:p>
        </w:tc>
      </w:tr>
      <w:tr w:rsidR="000D3836" w14:paraId="2B1F45B4"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64A86DA5" w14:textId="77777777" w:rsidR="000D3836" w:rsidRDefault="000D3836">
            <w:pPr>
              <w:spacing w:after="240" w:line="384" w:lineRule="atLeast"/>
            </w:pPr>
            <w:r>
              <w:rPr>
                <w:rFonts w:ascii="Times New Roman" w:hAnsi="Times New Roman" w:cs="Times New Roman"/>
                <w:sz w:val="30"/>
                <w:szCs w:val="30"/>
                <w:lang w:eastAsia="en-AU"/>
              </w:rPr>
              <w:t xml:space="preserve">CSC </w:t>
            </w:r>
            <w:proofErr w:type="spellStart"/>
            <w:r>
              <w:rPr>
                <w:rFonts w:ascii="Times New Roman" w:hAnsi="Times New Roman" w:cs="Times New Roman"/>
                <w:sz w:val="30"/>
                <w:szCs w:val="30"/>
                <w:lang w:eastAsia="en-AU"/>
              </w:rPr>
              <w:t>PSSap</w:t>
            </w:r>
            <w:proofErr w:type="spellEnd"/>
            <w:r>
              <w:rPr>
                <w:rFonts w:ascii="Times New Roman" w:hAnsi="Times New Roman" w:cs="Times New Roman"/>
                <w:sz w:val="30"/>
                <w:szCs w:val="30"/>
                <w:lang w:eastAsia="en-AU"/>
              </w:rPr>
              <w:t xml:space="preserve"> – </w:t>
            </w:r>
            <w:proofErr w:type="spellStart"/>
            <w:r>
              <w:rPr>
                <w:rFonts w:ascii="Times New Roman" w:hAnsi="Times New Roman" w:cs="Times New Roman"/>
                <w:sz w:val="30"/>
                <w:szCs w:val="30"/>
                <w:lang w:eastAsia="en-AU"/>
              </w:rPr>
              <w:t>MySuper</w:t>
            </w:r>
            <w:proofErr w:type="spellEnd"/>
            <w:r>
              <w:rPr>
                <w:rFonts w:ascii="Times New Roman" w:hAnsi="Times New Roman" w:cs="Times New Roman"/>
                <w:sz w:val="30"/>
                <w:szCs w:val="30"/>
                <w:lang w:eastAsia="en-AU"/>
              </w:rPr>
              <w:t xml:space="preserve">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2C834249" w14:textId="77777777" w:rsidR="000D3836" w:rsidRDefault="000D3836">
            <w:pPr>
              <w:spacing w:after="240" w:line="384" w:lineRule="atLeast"/>
            </w:pPr>
            <w:r>
              <w:rPr>
                <w:rFonts w:ascii="Times New Roman" w:hAnsi="Times New Roman" w:cs="Times New Roman"/>
                <w:sz w:val="30"/>
                <w:szCs w:val="30"/>
                <w:lang w:eastAsia="en-AU"/>
              </w:rPr>
              <w:t>Public sector</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4292C136" w14:textId="77777777" w:rsidR="000D3836" w:rsidRDefault="000D3836">
            <w:pPr>
              <w:spacing w:after="240" w:line="384" w:lineRule="atLeast"/>
            </w:pPr>
            <w:r>
              <w:rPr>
                <w:rFonts w:ascii="Times New Roman" w:hAnsi="Times New Roman" w:cs="Times New Roman"/>
                <w:sz w:val="30"/>
                <w:szCs w:val="30"/>
                <w:lang w:eastAsia="en-AU"/>
              </w:rPr>
              <w:t>$599</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130B1487" w14:textId="77777777" w:rsidR="000D3836" w:rsidRDefault="000D3836">
            <w:pPr>
              <w:spacing w:after="240" w:line="384" w:lineRule="atLeast"/>
            </w:pPr>
            <w:r>
              <w:rPr>
                <w:rFonts w:ascii="Times New Roman" w:hAnsi="Times New Roman" w:cs="Times New Roman"/>
                <w:sz w:val="30"/>
                <w:szCs w:val="30"/>
                <w:lang w:eastAsia="en-AU"/>
              </w:rPr>
              <w:t>7.8%</w:t>
            </w:r>
          </w:p>
        </w:tc>
      </w:tr>
      <w:tr w:rsidR="000D3836" w14:paraId="34004E2F"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69C1C8E1" w14:textId="77777777" w:rsidR="000D3836" w:rsidRDefault="000D3836">
            <w:pPr>
              <w:spacing w:after="240" w:line="384" w:lineRule="atLeast"/>
            </w:pPr>
            <w:r>
              <w:rPr>
                <w:rFonts w:ascii="Times New Roman" w:hAnsi="Times New Roman" w:cs="Times New Roman"/>
                <w:sz w:val="30"/>
                <w:szCs w:val="30"/>
                <w:lang w:eastAsia="en-AU"/>
              </w:rPr>
              <w:lastRenderedPageBreak/>
              <w:t>Mercer Super Trust – Mercer Growth</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4A444C4F" w14:textId="77777777" w:rsidR="000D3836" w:rsidRDefault="000D3836">
            <w:pPr>
              <w:spacing w:after="240" w:line="384" w:lineRule="atLeast"/>
            </w:pPr>
            <w:r>
              <w:rPr>
                <w:rFonts w:ascii="Times New Roman" w:hAnsi="Times New Roman" w:cs="Times New Roman"/>
                <w:sz w:val="30"/>
                <w:szCs w:val="30"/>
                <w:lang w:eastAsia="en-AU"/>
              </w:rPr>
              <w:t>Retail</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3930541B" w14:textId="77777777" w:rsidR="000D3836" w:rsidRDefault="000D3836">
            <w:pPr>
              <w:spacing w:after="240" w:line="384" w:lineRule="atLeast"/>
            </w:pPr>
            <w:r>
              <w:rPr>
                <w:rFonts w:ascii="Times New Roman" w:hAnsi="Times New Roman" w:cs="Times New Roman"/>
                <w:sz w:val="30"/>
                <w:szCs w:val="30"/>
                <w:lang w:eastAsia="en-AU"/>
              </w:rPr>
              <w:t>$829</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0E176EBF" w14:textId="77777777" w:rsidR="000D3836" w:rsidRDefault="000D3836">
            <w:pPr>
              <w:spacing w:after="240" w:line="384" w:lineRule="atLeast"/>
            </w:pPr>
            <w:r>
              <w:rPr>
                <w:rFonts w:ascii="Times New Roman" w:hAnsi="Times New Roman" w:cs="Times New Roman"/>
                <w:sz w:val="30"/>
                <w:szCs w:val="30"/>
                <w:lang w:eastAsia="en-AU"/>
              </w:rPr>
              <w:t>7.8%</w:t>
            </w:r>
          </w:p>
        </w:tc>
      </w:tr>
      <w:tr w:rsidR="000D3836" w14:paraId="6EB443F5"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0AC42EC7" w14:textId="77777777" w:rsidR="000D3836" w:rsidRDefault="000D3836">
            <w:pPr>
              <w:spacing w:after="240" w:line="384" w:lineRule="atLeast"/>
            </w:pPr>
            <w:r>
              <w:rPr>
                <w:rFonts w:ascii="Times New Roman" w:hAnsi="Times New Roman" w:cs="Times New Roman"/>
                <w:sz w:val="30"/>
                <w:szCs w:val="30"/>
                <w:lang w:eastAsia="en-AU"/>
              </w:rPr>
              <w:t xml:space="preserve">IOOF Employer Super Core – IOOF </w:t>
            </w:r>
            <w:proofErr w:type="spellStart"/>
            <w:r>
              <w:rPr>
                <w:rFonts w:ascii="Times New Roman" w:hAnsi="Times New Roman" w:cs="Times New Roman"/>
                <w:sz w:val="30"/>
                <w:szCs w:val="30"/>
                <w:lang w:eastAsia="en-AU"/>
              </w:rPr>
              <w:t>MultiMix</w:t>
            </w:r>
            <w:proofErr w:type="spellEnd"/>
            <w:r>
              <w:rPr>
                <w:rFonts w:ascii="Times New Roman" w:hAnsi="Times New Roman" w:cs="Times New Roman"/>
                <w:sz w:val="30"/>
                <w:szCs w:val="30"/>
                <w:lang w:eastAsia="en-AU"/>
              </w:rPr>
              <w:t xml:space="preserve"> Balanced Growth Trust</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234349A2" w14:textId="77777777" w:rsidR="000D3836" w:rsidRDefault="000D3836">
            <w:pPr>
              <w:spacing w:after="240" w:line="384" w:lineRule="atLeast"/>
            </w:pPr>
            <w:r>
              <w:rPr>
                <w:rFonts w:ascii="Times New Roman" w:hAnsi="Times New Roman" w:cs="Times New Roman"/>
                <w:sz w:val="30"/>
                <w:szCs w:val="30"/>
                <w:lang w:eastAsia="en-AU"/>
              </w:rPr>
              <w:t>Retail</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676C8E50" w14:textId="77777777" w:rsidR="000D3836" w:rsidRDefault="000D3836">
            <w:pPr>
              <w:spacing w:after="240" w:line="384" w:lineRule="atLeast"/>
            </w:pPr>
            <w:r>
              <w:rPr>
                <w:rFonts w:ascii="Times New Roman" w:hAnsi="Times New Roman" w:cs="Times New Roman"/>
                <w:sz w:val="30"/>
                <w:szCs w:val="30"/>
                <w:lang w:eastAsia="en-AU"/>
              </w:rPr>
              <w:t>$852</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4A9C7152" w14:textId="77777777" w:rsidR="000D3836" w:rsidRDefault="000D3836">
            <w:pPr>
              <w:spacing w:after="240" w:line="384" w:lineRule="atLeast"/>
            </w:pPr>
            <w:r>
              <w:rPr>
                <w:rFonts w:ascii="Times New Roman" w:hAnsi="Times New Roman" w:cs="Times New Roman"/>
                <w:sz w:val="30"/>
                <w:szCs w:val="30"/>
                <w:lang w:eastAsia="en-AU"/>
              </w:rPr>
              <w:t>7.7%</w:t>
            </w:r>
          </w:p>
        </w:tc>
      </w:tr>
      <w:tr w:rsidR="000D3836" w14:paraId="1360A3EC"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14A000CC" w14:textId="77777777" w:rsidR="000D3836" w:rsidRDefault="000D3836">
            <w:pPr>
              <w:spacing w:after="240" w:line="384" w:lineRule="atLeast"/>
            </w:pPr>
            <w:proofErr w:type="spellStart"/>
            <w:r>
              <w:rPr>
                <w:rFonts w:ascii="Times New Roman" w:hAnsi="Times New Roman" w:cs="Times New Roman"/>
                <w:sz w:val="30"/>
                <w:szCs w:val="30"/>
                <w:lang w:eastAsia="en-AU"/>
              </w:rPr>
              <w:t>TelstraSuper</w:t>
            </w:r>
            <w:proofErr w:type="spellEnd"/>
            <w:r>
              <w:rPr>
                <w:rFonts w:ascii="Times New Roman" w:hAnsi="Times New Roman" w:cs="Times New Roman"/>
                <w:sz w:val="30"/>
                <w:szCs w:val="30"/>
                <w:lang w:eastAsia="en-AU"/>
              </w:rPr>
              <w:t xml:space="preserve"> Corp Plus – Balanced</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594B5013" w14:textId="77777777" w:rsidR="000D3836" w:rsidRDefault="000D3836">
            <w:pPr>
              <w:spacing w:after="240" w:line="384" w:lineRule="atLeast"/>
            </w:pPr>
            <w:r>
              <w:rPr>
                <w:rFonts w:ascii="Times New Roman" w:hAnsi="Times New Roman" w:cs="Times New Roman"/>
                <w:sz w:val="30"/>
                <w:szCs w:val="30"/>
                <w:lang w:eastAsia="en-AU"/>
              </w:rPr>
              <w:t>Corporate</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394BCB0F" w14:textId="77777777" w:rsidR="000D3836" w:rsidRDefault="000D3836">
            <w:pPr>
              <w:spacing w:after="240" w:line="384" w:lineRule="atLeast"/>
            </w:pPr>
            <w:r>
              <w:rPr>
                <w:rFonts w:ascii="Times New Roman" w:hAnsi="Times New Roman" w:cs="Times New Roman"/>
                <w:sz w:val="30"/>
                <w:szCs w:val="30"/>
                <w:lang w:eastAsia="en-AU"/>
              </w:rPr>
              <w:t>$553</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2BB9D657" w14:textId="77777777" w:rsidR="000D3836" w:rsidRDefault="000D3836">
            <w:pPr>
              <w:spacing w:after="240" w:line="384" w:lineRule="atLeast"/>
            </w:pPr>
            <w:r>
              <w:rPr>
                <w:rFonts w:ascii="Times New Roman" w:hAnsi="Times New Roman" w:cs="Times New Roman"/>
                <w:sz w:val="30"/>
                <w:szCs w:val="30"/>
                <w:lang w:eastAsia="en-AU"/>
              </w:rPr>
              <w:t>7.7%</w:t>
            </w:r>
          </w:p>
        </w:tc>
      </w:tr>
      <w:tr w:rsidR="000D3836" w14:paraId="2398973D" w14:textId="77777777" w:rsidTr="00BC171B">
        <w:trPr>
          <w:gridBefore w:val="1"/>
          <w:wBefore w:w="990" w:type="dxa"/>
        </w:trPr>
        <w:tc>
          <w:tcPr>
            <w:tcW w:w="4017" w:type="dxa"/>
            <w:gridSpan w:val="2"/>
            <w:tcBorders>
              <w:top w:val="single" w:sz="8" w:space="0" w:color="EEEEEE"/>
              <w:left w:val="nil"/>
              <w:bottom w:val="nil"/>
              <w:right w:val="nil"/>
            </w:tcBorders>
            <w:tcMar>
              <w:top w:w="240" w:type="dxa"/>
              <w:left w:w="240" w:type="dxa"/>
              <w:bottom w:w="240" w:type="dxa"/>
              <w:right w:w="240" w:type="dxa"/>
            </w:tcMar>
            <w:hideMark/>
          </w:tcPr>
          <w:p w14:paraId="7D7D3FD1" w14:textId="77777777" w:rsidR="000D3836" w:rsidRDefault="000D3836">
            <w:pPr>
              <w:spacing w:after="240" w:line="384" w:lineRule="atLeast"/>
            </w:pPr>
            <w:proofErr w:type="spellStart"/>
            <w:r>
              <w:rPr>
                <w:rFonts w:ascii="Times New Roman" w:hAnsi="Times New Roman" w:cs="Times New Roman"/>
                <w:sz w:val="30"/>
                <w:szCs w:val="30"/>
                <w:lang w:eastAsia="en-AU"/>
              </w:rPr>
              <w:t>smartMonday</w:t>
            </w:r>
            <w:proofErr w:type="spellEnd"/>
            <w:r>
              <w:rPr>
                <w:rFonts w:ascii="Times New Roman" w:hAnsi="Times New Roman" w:cs="Times New Roman"/>
                <w:sz w:val="30"/>
                <w:szCs w:val="30"/>
                <w:lang w:eastAsia="en-AU"/>
              </w:rPr>
              <w:t xml:space="preserve"> PRIME – Balanced Growth – Active</w:t>
            </w:r>
          </w:p>
        </w:tc>
        <w:tc>
          <w:tcPr>
            <w:tcW w:w="3144" w:type="dxa"/>
            <w:gridSpan w:val="2"/>
            <w:tcBorders>
              <w:top w:val="single" w:sz="8" w:space="0" w:color="EEEEEE"/>
              <w:left w:val="nil"/>
              <w:bottom w:val="nil"/>
              <w:right w:val="nil"/>
            </w:tcBorders>
            <w:tcMar>
              <w:top w:w="240" w:type="dxa"/>
              <w:left w:w="240" w:type="dxa"/>
              <w:bottom w:w="240" w:type="dxa"/>
              <w:right w:w="240" w:type="dxa"/>
            </w:tcMar>
            <w:hideMark/>
          </w:tcPr>
          <w:p w14:paraId="49061FC6" w14:textId="77777777" w:rsidR="000D3836" w:rsidRDefault="000D3836">
            <w:pPr>
              <w:spacing w:after="240" w:line="384" w:lineRule="atLeast"/>
            </w:pPr>
            <w:r>
              <w:rPr>
                <w:rFonts w:ascii="Times New Roman" w:hAnsi="Times New Roman" w:cs="Times New Roman"/>
                <w:sz w:val="30"/>
                <w:szCs w:val="30"/>
                <w:lang w:eastAsia="en-AU"/>
              </w:rPr>
              <w:t>Retail</w:t>
            </w:r>
          </w:p>
        </w:tc>
        <w:tc>
          <w:tcPr>
            <w:tcW w:w="2021" w:type="dxa"/>
            <w:gridSpan w:val="2"/>
            <w:tcBorders>
              <w:top w:val="single" w:sz="8" w:space="0" w:color="EEEEEE"/>
              <w:left w:val="nil"/>
              <w:bottom w:val="nil"/>
              <w:right w:val="nil"/>
            </w:tcBorders>
            <w:tcMar>
              <w:top w:w="240" w:type="dxa"/>
              <w:left w:w="240" w:type="dxa"/>
              <w:bottom w:w="240" w:type="dxa"/>
              <w:right w:w="240" w:type="dxa"/>
            </w:tcMar>
            <w:hideMark/>
          </w:tcPr>
          <w:p w14:paraId="0AFDC9AC" w14:textId="77777777" w:rsidR="000D3836" w:rsidRDefault="000D3836">
            <w:pPr>
              <w:spacing w:after="240" w:line="384" w:lineRule="atLeast"/>
            </w:pPr>
            <w:r>
              <w:rPr>
                <w:rFonts w:ascii="Times New Roman" w:hAnsi="Times New Roman" w:cs="Times New Roman"/>
                <w:sz w:val="30"/>
                <w:szCs w:val="30"/>
                <w:lang w:eastAsia="en-AU"/>
              </w:rPr>
              <w:t>$847</w:t>
            </w:r>
          </w:p>
        </w:tc>
        <w:tc>
          <w:tcPr>
            <w:tcW w:w="2068" w:type="dxa"/>
            <w:gridSpan w:val="2"/>
            <w:tcBorders>
              <w:top w:val="single" w:sz="8" w:space="0" w:color="EEEEEE"/>
              <w:left w:val="nil"/>
              <w:bottom w:val="nil"/>
              <w:right w:val="nil"/>
            </w:tcBorders>
            <w:tcMar>
              <w:top w:w="240" w:type="dxa"/>
              <w:left w:w="240" w:type="dxa"/>
              <w:bottom w:w="240" w:type="dxa"/>
              <w:right w:w="240" w:type="dxa"/>
            </w:tcMar>
            <w:hideMark/>
          </w:tcPr>
          <w:p w14:paraId="452E7DB0" w14:textId="77777777" w:rsidR="000D3836" w:rsidRDefault="000D3836">
            <w:pPr>
              <w:spacing w:after="240" w:line="384" w:lineRule="atLeast"/>
            </w:pPr>
            <w:r>
              <w:rPr>
                <w:rFonts w:ascii="Times New Roman" w:hAnsi="Times New Roman" w:cs="Times New Roman"/>
                <w:sz w:val="30"/>
                <w:szCs w:val="30"/>
                <w:lang w:eastAsia="en-AU"/>
              </w:rPr>
              <w:t>7.6%</w:t>
            </w:r>
          </w:p>
        </w:tc>
      </w:tr>
    </w:tbl>
    <w:p w14:paraId="2FEED1E2" w14:textId="77777777" w:rsidR="000D3836" w:rsidRDefault="000D3836" w:rsidP="00BC171B">
      <w:pPr>
        <w:spacing w:after="240" w:line="384" w:lineRule="atLeast"/>
        <w:rPr>
          <w:rFonts w:ascii="Calibri" w:hAnsi="Calibri" w:cs="Calibri"/>
          <w:bCs w:val="0"/>
          <w:kern w:val="0"/>
          <w:sz w:val="22"/>
        </w:rPr>
      </w:pPr>
      <w:r>
        <w:br w:type="page"/>
      </w:r>
      <w:r>
        <w:rPr>
          <w:rFonts w:ascii="Times New Roman" w:hAnsi="Times New Roman" w:cs="Times New Roman"/>
          <w:i/>
          <w:iCs/>
          <w:sz w:val="30"/>
          <w:szCs w:val="30"/>
          <w:lang w:eastAsia="en-AU"/>
        </w:rPr>
        <w:lastRenderedPageBreak/>
        <w:t xml:space="preserve">Note: Returns are net of investment fees, </w:t>
      </w:r>
      <w:proofErr w:type="gramStart"/>
      <w:r>
        <w:rPr>
          <w:rFonts w:ascii="Times New Roman" w:hAnsi="Times New Roman" w:cs="Times New Roman"/>
          <w:i/>
          <w:iCs/>
          <w:sz w:val="30"/>
          <w:szCs w:val="30"/>
          <w:lang w:eastAsia="en-AU"/>
        </w:rPr>
        <w:t>tax</w:t>
      </w:r>
      <w:proofErr w:type="gramEnd"/>
      <w:r>
        <w:rPr>
          <w:rFonts w:ascii="Times New Roman" w:hAnsi="Times New Roman" w:cs="Times New Roman"/>
          <w:i/>
          <w:iCs/>
          <w:sz w:val="30"/>
          <w:szCs w:val="30"/>
          <w:lang w:eastAsia="en-AU"/>
        </w:rPr>
        <w:t xml:space="preserve"> and implicit asset-based administration fees. Fees are based on a $50,000 balance as </w:t>
      </w:r>
      <w:proofErr w:type="gramStart"/>
      <w:r>
        <w:rPr>
          <w:rFonts w:ascii="Times New Roman" w:hAnsi="Times New Roman" w:cs="Times New Roman"/>
          <w:i/>
          <w:iCs/>
          <w:sz w:val="30"/>
          <w:szCs w:val="30"/>
          <w:lang w:eastAsia="en-AU"/>
        </w:rPr>
        <w:t>at</w:t>
      </w:r>
      <w:proofErr w:type="gramEnd"/>
      <w:r>
        <w:rPr>
          <w:rFonts w:ascii="Times New Roman" w:hAnsi="Times New Roman" w:cs="Times New Roman"/>
          <w:i/>
          <w:iCs/>
          <w:sz w:val="30"/>
          <w:szCs w:val="30"/>
          <w:lang w:eastAsia="en-AU"/>
        </w:rPr>
        <w:t xml:space="preserve"> 30 September 2019. Fees include percentage-based administration fees, member fees, investment management fees (including performance-based fees), indirect cost ratios (ICRs) and taxes, but exclude any applicable employer size rebates.</w:t>
      </w:r>
    </w:p>
    <w:p w14:paraId="77F692F4" w14:textId="77777777" w:rsidR="000D3836" w:rsidRDefault="000D3836" w:rsidP="00BC171B">
      <w:pPr>
        <w:spacing w:after="240" w:line="384" w:lineRule="atLeast"/>
      </w:pPr>
      <w:r>
        <w:rPr>
          <w:rFonts w:ascii="Times New Roman" w:hAnsi="Times New Roman" w:cs="Times New Roman"/>
          <w:sz w:val="30"/>
          <w:szCs w:val="30"/>
          <w:lang w:eastAsia="en-AU"/>
        </w:rPr>
        <w:t xml:space="preserve">It’s important to note that the performance for the SR50 balanced index (the average across the 50 funds in the balanced investment option reviewed by </w:t>
      </w:r>
      <w:proofErr w:type="spellStart"/>
      <w:r>
        <w:rPr>
          <w:rFonts w:ascii="Times New Roman" w:hAnsi="Times New Roman" w:cs="Times New Roman"/>
          <w:sz w:val="30"/>
          <w:szCs w:val="30"/>
          <w:lang w:eastAsia="en-AU"/>
        </w:rPr>
        <w:t>SuperRatings</w:t>
      </w:r>
      <w:proofErr w:type="spellEnd"/>
      <w:r>
        <w:rPr>
          <w:rFonts w:ascii="Times New Roman" w:hAnsi="Times New Roman" w:cs="Times New Roman"/>
          <w:sz w:val="30"/>
          <w:szCs w:val="30"/>
          <w:lang w:eastAsia="en-AU"/>
        </w:rPr>
        <w:t>) was 7.8% per year, so not all the funds listed above performed better than the average.</w:t>
      </w:r>
    </w:p>
    <w:p w14:paraId="4970A243" w14:textId="77777777" w:rsidR="000D3836" w:rsidRDefault="000D3836" w:rsidP="00BC171B">
      <w:pPr>
        <w:spacing w:after="240" w:line="384" w:lineRule="atLeast"/>
      </w:pPr>
      <w:r>
        <w:rPr>
          <w:rFonts w:ascii="Times New Roman" w:hAnsi="Times New Roman" w:cs="Times New Roman"/>
          <w:sz w:val="30"/>
          <w:szCs w:val="30"/>
          <w:lang w:eastAsia="en-AU"/>
        </w:rPr>
        <w:t>Although the difference between the top performer and the average may not seem that significant (1.8% per year), the difference builds up significantly over time due to </w:t>
      </w:r>
      <w:hyperlink r:id="rId8" w:history="1">
        <w:r>
          <w:rPr>
            <w:rStyle w:val="Hyperlink"/>
            <w:rFonts w:ascii="Times New Roman" w:hAnsi="Times New Roman"/>
            <w:color w:val="B30000"/>
            <w:sz w:val="30"/>
            <w:szCs w:val="30"/>
            <w:lang w:eastAsia="en-AU"/>
          </w:rPr>
          <w:t>compounding</w:t>
        </w:r>
      </w:hyperlink>
      <w:r>
        <w:rPr>
          <w:rFonts w:ascii="Times New Roman" w:hAnsi="Times New Roman" w:cs="Times New Roman"/>
          <w:sz w:val="30"/>
          <w:szCs w:val="30"/>
          <w:lang w:eastAsia="en-AU"/>
        </w:rPr>
        <w:t>. The Productivity Commission example quoted earlier is a good example of this, and we have developed the</w:t>
      </w:r>
      <w:r>
        <w:rPr>
          <w:rFonts w:ascii="Times New Roman" w:hAnsi="Times New Roman" w:cs="Times New Roman"/>
          <w:i/>
          <w:iCs/>
          <w:sz w:val="30"/>
          <w:szCs w:val="30"/>
          <w:lang w:eastAsia="en-AU"/>
        </w:rPr>
        <w:t> </w:t>
      </w:r>
      <w:proofErr w:type="spellStart"/>
      <w:r>
        <w:rPr>
          <w:rFonts w:ascii="Times New Roman" w:hAnsi="Times New Roman" w:cs="Times New Roman"/>
          <w:i/>
          <w:iCs/>
          <w:sz w:val="30"/>
          <w:szCs w:val="30"/>
          <w:lang w:eastAsia="en-AU"/>
        </w:rPr>
        <w:t>SuperGuide’s</w:t>
      </w:r>
      <w:proofErr w:type="spellEnd"/>
      <w:r>
        <w:rPr>
          <w:rFonts w:ascii="Times New Roman" w:hAnsi="Times New Roman" w:cs="Times New Roman"/>
          <w:sz w:val="30"/>
          <w:szCs w:val="30"/>
          <w:lang w:eastAsia="en-AU"/>
        </w:rPr>
        <w:t> </w:t>
      </w:r>
      <w:hyperlink r:id="rId9" w:history="1">
        <w:r>
          <w:rPr>
            <w:rStyle w:val="Hyperlink"/>
            <w:rFonts w:ascii="Times New Roman" w:hAnsi="Times New Roman"/>
            <w:color w:val="B30000"/>
            <w:sz w:val="30"/>
            <w:szCs w:val="30"/>
            <w:lang w:eastAsia="en-AU"/>
          </w:rPr>
          <w:t>Super fees and returns calculator</w:t>
        </w:r>
      </w:hyperlink>
      <w:r>
        <w:rPr>
          <w:rFonts w:ascii="Times New Roman" w:hAnsi="Times New Roman" w:cs="Times New Roman"/>
          <w:sz w:val="30"/>
          <w:szCs w:val="30"/>
          <w:lang w:eastAsia="en-AU"/>
        </w:rPr>
        <w:t> to help readers understand the difference the fees they pay and projected returns may make over time.</w:t>
      </w:r>
    </w:p>
    <w:p w14:paraId="010DB57E" w14:textId="77777777" w:rsidR="000D3836" w:rsidRDefault="000D3836" w:rsidP="00BC171B">
      <w:pPr>
        <w:spacing w:after="240" w:line="384" w:lineRule="atLeast"/>
      </w:pPr>
      <w:r>
        <w:rPr>
          <w:rFonts w:ascii="Times New Roman" w:hAnsi="Times New Roman" w:cs="Times New Roman"/>
          <w:sz w:val="30"/>
          <w:szCs w:val="30"/>
          <w:lang w:eastAsia="en-AU"/>
        </w:rPr>
        <w:t xml:space="preserve">For example, a 20-year-old with $5,000 in super and earning $50,000 per year, paying 0.8% in </w:t>
      </w:r>
      <w:proofErr w:type="gramStart"/>
      <w:r>
        <w:rPr>
          <w:rFonts w:ascii="Times New Roman" w:hAnsi="Times New Roman" w:cs="Times New Roman"/>
          <w:sz w:val="30"/>
          <w:szCs w:val="30"/>
          <w:lang w:eastAsia="en-AU"/>
        </w:rPr>
        <w:t>fees</w:t>
      </w:r>
      <w:proofErr w:type="gramEnd"/>
      <w:r>
        <w:rPr>
          <w:rFonts w:ascii="Times New Roman" w:hAnsi="Times New Roman" w:cs="Times New Roman"/>
          <w:sz w:val="30"/>
          <w:szCs w:val="30"/>
          <w:lang w:eastAsia="en-AU"/>
        </w:rPr>
        <w:t xml:space="preserve"> and achieving 9.6% per year, could retire at 65 with a super balance of approximately $1,016,749. All other things being equal, achieving 7.8% instead would mean a super balance of approximately $604,095 – a difference of $412,653, or 40% less.</w:t>
      </w:r>
    </w:p>
    <w:p w14:paraId="05F84B63" w14:textId="77777777" w:rsidR="000D3836" w:rsidRPr="00BC171B" w:rsidRDefault="000D3836" w:rsidP="00BC171B">
      <w:pPr>
        <w:spacing w:after="240" w:line="384" w:lineRule="atLeast"/>
      </w:pPr>
      <w:r>
        <w:rPr>
          <w:rFonts w:ascii="Times New Roman" w:hAnsi="Times New Roman" w:cs="Times New Roman"/>
          <w:sz w:val="30"/>
          <w:szCs w:val="30"/>
          <w:lang w:eastAsia="en-AU"/>
        </w:rPr>
        <w:t xml:space="preserve">Fees are an important part of the equation, and there was a significant variation in the fees charged (based on a $50,000 balance) across the 30 funds. The most expensive fund (the only retail fund) charged $913 per year, while the average was $580 per year and the lowest was $366 per year. </w:t>
      </w:r>
      <w:r w:rsidRPr="00BC171B">
        <w:rPr>
          <w:rFonts w:ascii="Times New Roman" w:hAnsi="Times New Roman" w:cs="Times New Roman"/>
          <w:sz w:val="30"/>
          <w:szCs w:val="30"/>
          <w:lang w:eastAsia="en-AU"/>
        </w:rPr>
        <w:t>Discover </w:t>
      </w:r>
      <w:hyperlink r:id="rId10" w:history="1">
        <w:r w:rsidRPr="00BC171B">
          <w:rPr>
            <w:rStyle w:val="Hyperlink"/>
            <w:rFonts w:ascii="Times New Roman" w:hAnsi="Times New Roman"/>
            <w:color w:val="auto"/>
            <w:sz w:val="30"/>
            <w:szCs w:val="30"/>
            <w:u w:val="none"/>
            <w:lang w:eastAsia="en-AU"/>
          </w:rPr>
          <w:t>the super and pension funds with the lowest fees</w:t>
        </w:r>
      </w:hyperlink>
      <w:r w:rsidRPr="00BC171B">
        <w:rPr>
          <w:rFonts w:ascii="Times New Roman" w:hAnsi="Times New Roman" w:cs="Times New Roman"/>
          <w:sz w:val="30"/>
          <w:szCs w:val="30"/>
          <w:lang w:eastAsia="en-AU"/>
        </w:rPr>
        <w:t xml:space="preserve">, </w:t>
      </w:r>
      <w:r>
        <w:rPr>
          <w:rFonts w:ascii="Times New Roman" w:hAnsi="Times New Roman" w:cs="Times New Roman"/>
          <w:sz w:val="30"/>
          <w:szCs w:val="30"/>
          <w:lang w:eastAsia="en-AU"/>
        </w:rPr>
        <w:t>(</w:t>
      </w:r>
      <w:hyperlink r:id="rId11" w:history="1">
        <w:r w:rsidRPr="00BC171B">
          <w:rPr>
            <w:color w:val="0000FF"/>
            <w:u w:val="single"/>
          </w:rPr>
          <w:t>https://www.superguide.com.au/how-super-works/feeding-frenzy-super-fund-fees</w:t>
        </w:r>
      </w:hyperlink>
      <w:r>
        <w:t xml:space="preserve">) </w:t>
      </w:r>
      <w:r w:rsidRPr="00BC171B">
        <w:rPr>
          <w:rFonts w:ascii="Times New Roman" w:hAnsi="Times New Roman" w:cs="Times New Roman"/>
          <w:sz w:val="30"/>
          <w:szCs w:val="30"/>
          <w:lang w:eastAsia="en-AU"/>
        </w:rPr>
        <w:t>and find out </w:t>
      </w:r>
      <w:hyperlink r:id="rId12" w:history="1">
        <w:r w:rsidRPr="00BC171B">
          <w:rPr>
            <w:rStyle w:val="Hyperlink"/>
            <w:rFonts w:ascii="Times New Roman" w:hAnsi="Times New Roman"/>
            <w:color w:val="auto"/>
            <w:sz w:val="30"/>
            <w:szCs w:val="30"/>
            <w:u w:val="none"/>
            <w:lang w:eastAsia="en-AU"/>
          </w:rPr>
          <w:t>what are the average super fund fees</w:t>
        </w:r>
      </w:hyperlink>
      <w:r w:rsidRPr="00BC171B">
        <w:rPr>
          <w:rFonts w:ascii="Times New Roman" w:hAnsi="Times New Roman" w:cs="Times New Roman"/>
          <w:sz w:val="30"/>
          <w:szCs w:val="30"/>
          <w:lang w:eastAsia="en-AU"/>
        </w:rPr>
        <w:t>.</w:t>
      </w:r>
    </w:p>
    <w:p w14:paraId="2170D9AD" w14:textId="77777777" w:rsidR="000D3836" w:rsidRDefault="000D3836" w:rsidP="00BC171B">
      <w:pPr>
        <w:spacing w:after="240" w:line="384" w:lineRule="atLeast"/>
      </w:pPr>
      <w:r>
        <w:rPr>
          <w:rFonts w:ascii="Times New Roman" w:hAnsi="Times New Roman" w:cs="Times New Roman"/>
          <w:b/>
          <w:bCs w:val="0"/>
          <w:sz w:val="30"/>
          <w:szCs w:val="30"/>
          <w:lang w:eastAsia="en-AU"/>
        </w:rPr>
        <w:t>Important: </w:t>
      </w:r>
      <w:r>
        <w:rPr>
          <w:rFonts w:ascii="Times New Roman" w:hAnsi="Times New Roman" w:cs="Times New Roman"/>
          <w:sz w:val="30"/>
          <w:szCs w:val="30"/>
          <w:lang w:eastAsia="en-AU"/>
        </w:rPr>
        <w:t xml:space="preserve">Past performance is not indicative of future results. Superannuation is a long-term investment. </w:t>
      </w:r>
      <w:proofErr w:type="gramStart"/>
      <w:r>
        <w:rPr>
          <w:rFonts w:ascii="Times New Roman" w:hAnsi="Times New Roman" w:cs="Times New Roman"/>
          <w:sz w:val="30"/>
          <w:szCs w:val="30"/>
          <w:lang w:eastAsia="en-AU"/>
        </w:rPr>
        <w:t>It’s</w:t>
      </w:r>
      <w:proofErr w:type="gramEnd"/>
      <w:r>
        <w:rPr>
          <w:rFonts w:ascii="Times New Roman" w:hAnsi="Times New Roman" w:cs="Times New Roman"/>
          <w:sz w:val="30"/>
          <w:szCs w:val="30"/>
          <w:lang w:eastAsia="en-AU"/>
        </w:rPr>
        <w:t xml:space="preserve"> useful to know the top performers over five years, but you can get a better idea of which funds are consistently the strongest by looking at longer periods. </w:t>
      </w:r>
    </w:p>
    <w:p w14:paraId="015B967B" w14:textId="77777777" w:rsidR="000D3836" w:rsidRDefault="000D3836" w:rsidP="00BC171B">
      <w:pPr>
        <w:rPr>
          <w:rFonts w:ascii="Calibri" w:hAnsi="Calibri" w:cs="Calibri"/>
          <w:bCs w:val="0"/>
          <w:kern w:val="0"/>
          <w:sz w:val="22"/>
        </w:rPr>
      </w:pPr>
      <w:r>
        <w:br w:type="page"/>
      </w:r>
      <w:r>
        <w:rPr>
          <w:rFonts w:ascii="Verdana" w:hAnsi="Verdana"/>
          <w:b/>
          <w:bCs w:val="0"/>
          <w:color w:val="586068"/>
          <w:sz w:val="17"/>
          <w:szCs w:val="17"/>
          <w:lang w:eastAsia="en-AU"/>
        </w:rPr>
        <w:lastRenderedPageBreak/>
        <w:t>Brec Fenton</w:t>
      </w:r>
    </w:p>
    <w:p w14:paraId="31A88B98" w14:textId="77777777" w:rsidR="000D3836" w:rsidRDefault="000D3836" w:rsidP="00BC171B">
      <w:r>
        <w:rPr>
          <w:rFonts w:ascii="Verdana" w:hAnsi="Verdana"/>
          <w:b/>
          <w:bCs w:val="0"/>
          <w:color w:val="586068"/>
          <w:sz w:val="17"/>
          <w:szCs w:val="17"/>
          <w:lang w:eastAsia="en-AU"/>
        </w:rPr>
        <w:t>Private Client Adviser</w:t>
      </w:r>
    </w:p>
    <w:p w14:paraId="2A000A12" w14:textId="77777777" w:rsidR="000D3836" w:rsidRDefault="000D3836" w:rsidP="00BC171B">
      <w:r>
        <w:rPr>
          <w:rFonts w:ascii="Verdana" w:hAnsi="Verdana"/>
          <w:color w:val="586068"/>
          <w:sz w:val="17"/>
          <w:szCs w:val="17"/>
          <w:lang w:eastAsia="en-AU"/>
        </w:rPr>
        <w:t> </w:t>
      </w:r>
    </w:p>
    <w:p w14:paraId="5E8F1294" w14:textId="1FAD0702" w:rsidR="000D3836" w:rsidRDefault="000D3836" w:rsidP="00BC171B">
      <w:r>
        <w:rPr>
          <w:rFonts w:ascii="Verdana" w:hAnsi="Verdana"/>
          <w:noProof/>
          <w:color w:val="586068"/>
          <w:sz w:val="17"/>
          <w:szCs w:val="17"/>
          <w:lang w:eastAsia="en-AU"/>
        </w:rPr>
        <w:drawing>
          <wp:inline distT="0" distB="0" distL="0" distR="0" wp14:anchorId="4BC9F2EB" wp14:editId="099E79A3">
            <wp:extent cx="14287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w:hAnsi="Verdana"/>
          <w:color w:val="586068"/>
          <w:sz w:val="17"/>
          <w:szCs w:val="17"/>
          <w:lang w:eastAsia="en-AU"/>
        </w:rPr>
        <w:t>  1800 802 755</w:t>
      </w:r>
    </w:p>
    <w:p w14:paraId="31C8A0E4" w14:textId="4CABB70A" w:rsidR="000D3836" w:rsidRDefault="000D3836" w:rsidP="00BC171B">
      <w:r>
        <w:rPr>
          <w:rFonts w:ascii="Verdana" w:hAnsi="Verdana"/>
          <w:noProof/>
          <w:color w:val="586068"/>
          <w:sz w:val="17"/>
          <w:szCs w:val="17"/>
          <w:lang w:eastAsia="en-AU"/>
        </w:rPr>
        <w:drawing>
          <wp:inline distT="0" distB="0" distL="0" distR="0" wp14:anchorId="1D78F2E5" wp14:editId="6A835DA0">
            <wp:extent cx="142875" cy="1428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w:hAnsi="Verdana"/>
          <w:color w:val="586068"/>
          <w:sz w:val="17"/>
          <w:szCs w:val="17"/>
          <w:lang w:eastAsia="en-AU"/>
        </w:rPr>
        <w:t>  (07) 3214 5523</w:t>
      </w:r>
    </w:p>
    <w:p w14:paraId="78D11E98" w14:textId="180FCC63" w:rsidR="000D3836" w:rsidRDefault="000D3836" w:rsidP="00BC171B">
      <w:r>
        <w:rPr>
          <w:rFonts w:ascii="Verdana" w:hAnsi="Verdana"/>
          <w:noProof/>
          <w:color w:val="586068"/>
          <w:sz w:val="17"/>
          <w:szCs w:val="17"/>
          <w:lang w:eastAsia="en-AU"/>
        </w:rPr>
        <w:drawing>
          <wp:inline distT="0" distB="0" distL="0" distR="0" wp14:anchorId="440B06A5" wp14:editId="4621C1AC">
            <wp:extent cx="142875" cy="142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r:link="rId14"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w:hAnsi="Verdana"/>
          <w:color w:val="586068"/>
          <w:sz w:val="17"/>
          <w:szCs w:val="17"/>
          <w:lang w:eastAsia="en-AU"/>
        </w:rPr>
        <w:t>  0401 001 532</w:t>
      </w:r>
    </w:p>
    <w:p w14:paraId="098FB046" w14:textId="29624ADF" w:rsidR="000D3836" w:rsidRDefault="000D3836" w:rsidP="00BC171B">
      <w:r>
        <w:rPr>
          <w:rFonts w:ascii="Verdana" w:hAnsi="Verdana"/>
          <w:noProof/>
          <w:color w:val="586068"/>
          <w:sz w:val="17"/>
          <w:szCs w:val="17"/>
          <w:lang w:eastAsia="en-AU"/>
        </w:rPr>
        <w:drawing>
          <wp:inline distT="0" distB="0" distL="0" distR="0" wp14:anchorId="760ABE68" wp14:editId="4B76D8A7">
            <wp:extent cx="142875" cy="1428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w:hAnsi="Verdana"/>
          <w:color w:val="586068"/>
          <w:sz w:val="17"/>
          <w:szCs w:val="17"/>
          <w:lang w:val="fr-FR" w:eastAsia="en-AU"/>
        </w:rPr>
        <w:t>  (07) 3214 5550</w:t>
      </w:r>
    </w:p>
    <w:p w14:paraId="686A1511" w14:textId="06A020AF" w:rsidR="000D3836" w:rsidRDefault="000D3836" w:rsidP="00BC171B">
      <w:r>
        <w:rPr>
          <w:rFonts w:ascii="Verdana" w:hAnsi="Verdana"/>
          <w:noProof/>
          <w:color w:val="586068"/>
          <w:sz w:val="17"/>
          <w:szCs w:val="17"/>
          <w:lang w:eastAsia="en-AU"/>
        </w:rPr>
        <w:drawing>
          <wp:inline distT="0" distB="0" distL="0" distR="0" wp14:anchorId="15378D27" wp14:editId="1735D103">
            <wp:extent cx="142875" cy="1428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r:link="rId1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Pr>
          <w:rFonts w:ascii="Verdana" w:hAnsi="Verdana"/>
          <w:color w:val="586068"/>
          <w:sz w:val="17"/>
          <w:szCs w:val="17"/>
          <w:lang w:val="fr-FR" w:eastAsia="en-AU"/>
        </w:rPr>
        <w:t xml:space="preserve">  </w:t>
      </w:r>
      <w:hyperlink r:id="rId19" w:history="1">
        <w:r>
          <w:rPr>
            <w:rStyle w:val="Hyperlink"/>
            <w:rFonts w:ascii="Verdana" w:hAnsi="Verdana"/>
            <w:color w:val="0000FF"/>
            <w:sz w:val="17"/>
            <w:szCs w:val="17"/>
            <w:lang w:eastAsia="en-AU"/>
          </w:rPr>
          <w:t>bfenton@ords.com.au</w:t>
        </w:r>
      </w:hyperlink>
    </w:p>
    <w:p w14:paraId="48B70A63" w14:textId="77777777" w:rsidR="000D3836" w:rsidRDefault="000D3836" w:rsidP="00BC171B">
      <w:r>
        <w:rPr>
          <w:rFonts w:ascii="Verdana" w:hAnsi="Verdana"/>
          <w:color w:val="586068"/>
          <w:sz w:val="17"/>
          <w:szCs w:val="17"/>
          <w:lang w:val="fr-FR" w:eastAsia="en-AU"/>
        </w:rPr>
        <w:t> </w:t>
      </w:r>
    </w:p>
    <w:p w14:paraId="3116504E" w14:textId="06084536" w:rsidR="000D3836" w:rsidRDefault="000D3836" w:rsidP="00BC171B">
      <w:r>
        <w:rPr>
          <w:noProof/>
          <w:color w:val="1F497D"/>
          <w:lang w:eastAsia="en-AU"/>
        </w:rPr>
        <w:drawing>
          <wp:inline distT="0" distB="0" distL="0" distR="0" wp14:anchorId="0F2EBDE7" wp14:editId="23EE3F8A">
            <wp:extent cx="2162175" cy="266700"/>
            <wp:effectExtent l="0" t="0" r="0" b="0"/>
            <wp:docPr id="6" name="Picture 6">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2162175" cy="266700"/>
                    </a:xfrm>
                    <a:prstGeom prst="rect">
                      <a:avLst/>
                    </a:prstGeom>
                    <a:noFill/>
                    <a:ln>
                      <a:noFill/>
                    </a:ln>
                  </pic:spPr>
                </pic:pic>
              </a:graphicData>
            </a:graphic>
          </wp:inline>
        </w:drawing>
      </w:r>
    </w:p>
    <w:p w14:paraId="4013A018" w14:textId="77777777" w:rsidR="000D3836" w:rsidRDefault="000D3836" w:rsidP="00BC171B">
      <w:r>
        <w:rPr>
          <w:rFonts w:ascii="Verdana" w:hAnsi="Verdana"/>
          <w:color w:val="595959"/>
          <w:sz w:val="17"/>
          <w:szCs w:val="17"/>
          <w:lang w:val="en-US" w:eastAsia="en-AU"/>
        </w:rPr>
        <w:t> </w:t>
      </w:r>
    </w:p>
    <w:p w14:paraId="4BF197CD" w14:textId="77777777" w:rsidR="000D3836" w:rsidRDefault="000D3836" w:rsidP="00BC171B">
      <w:r>
        <w:rPr>
          <w:rFonts w:ascii="Verdana" w:hAnsi="Verdana"/>
          <w:color w:val="595959"/>
          <w:sz w:val="17"/>
          <w:szCs w:val="17"/>
          <w:lang w:eastAsia="en-AU"/>
        </w:rPr>
        <w:t>Level 31, 10 Eagle Street | Brisbane QLD 4000</w:t>
      </w:r>
    </w:p>
    <w:p w14:paraId="0E598092" w14:textId="77777777" w:rsidR="000D3836" w:rsidRDefault="000D3836" w:rsidP="00BC171B">
      <w:r>
        <w:rPr>
          <w:rFonts w:ascii="Verdana" w:hAnsi="Verdana"/>
          <w:color w:val="595959"/>
          <w:sz w:val="17"/>
          <w:szCs w:val="17"/>
          <w:lang w:eastAsia="en-AU"/>
        </w:rPr>
        <w:t>GPO Box 7887 | Brisbane Qld 4001</w:t>
      </w:r>
    </w:p>
    <w:p w14:paraId="1AA62680" w14:textId="77777777" w:rsidR="000D3836" w:rsidRDefault="000D3836" w:rsidP="00BC171B">
      <w:r>
        <w:rPr>
          <w:rFonts w:ascii="Verdana" w:hAnsi="Verdana"/>
          <w:color w:val="595959"/>
          <w:sz w:val="17"/>
          <w:szCs w:val="17"/>
          <w:lang w:eastAsia="en-AU"/>
        </w:rPr>
        <w:t xml:space="preserve">Website:  </w:t>
      </w:r>
      <w:hyperlink r:id="rId23" w:history="1">
        <w:r>
          <w:rPr>
            <w:rStyle w:val="Hyperlink"/>
            <w:rFonts w:ascii="Verdana" w:hAnsi="Verdana"/>
            <w:color w:val="595959"/>
            <w:sz w:val="17"/>
            <w:szCs w:val="17"/>
            <w:lang w:eastAsia="en-AU"/>
          </w:rPr>
          <w:t>www.ords.com.au</w:t>
        </w:r>
      </w:hyperlink>
    </w:p>
    <w:p w14:paraId="731FBE95" w14:textId="77777777" w:rsidR="000D3836" w:rsidRDefault="000D3836" w:rsidP="00BC171B">
      <w:pPr>
        <w:spacing w:before="0" w:after="0" w:line="240" w:lineRule="auto"/>
        <w:rPr>
          <w:lang w:eastAsia="en-AU"/>
        </w:rPr>
        <w:sectPr w:rsidR="000D3836" w:rsidSect="00BC171B">
          <w:headerReference w:type="default" r:id="rId24"/>
          <w:footerReference w:type="default" r:id="rId25"/>
          <w:headerReference w:type="first" r:id="rId26"/>
          <w:footerReference w:type="first" r:id="rId27"/>
          <w:pgSz w:w="12240" w:h="15840"/>
          <w:pgMar w:top="1134" w:right="1394" w:bottom="1134" w:left="851" w:header="709" w:footer="709" w:gutter="0"/>
          <w:pgNumType w:start="1"/>
          <w:cols w:space="708"/>
          <w:docGrid w:linePitch="360"/>
        </w:sectPr>
      </w:pPr>
      <w:r w:rsidRPr="00BC171B">
        <w:rPr>
          <w:sz w:val="20"/>
          <w:szCs w:val="20"/>
          <w:lang w:eastAsia="en-AU"/>
        </w:rPr>
        <w:t>We believe the advice and information herein to be accurate and reliable, but no warranty of accuracy or reliability is given. Unless otherwise specified, to the extent there is any advice contained within this message, such advice is general advice and not personal advice nor a recommendation to invest, unless otherwise specified in the email.</w:t>
      </w:r>
      <w:r w:rsidRPr="00BC171B">
        <w:rPr>
          <w:sz w:val="20"/>
          <w:szCs w:val="20"/>
          <w:lang w:eastAsia="en-AU"/>
        </w:rPr>
        <w:br/>
      </w:r>
      <w:r w:rsidRPr="00BC171B">
        <w:rPr>
          <w:sz w:val="20"/>
          <w:szCs w:val="20"/>
          <w:lang w:eastAsia="en-AU"/>
        </w:rPr>
        <w:br/>
        <w:t xml:space="preserve">Neither of Ord </w:t>
      </w:r>
      <w:proofErr w:type="spellStart"/>
      <w:r w:rsidRPr="00BC171B">
        <w:rPr>
          <w:sz w:val="20"/>
          <w:szCs w:val="20"/>
          <w:lang w:eastAsia="en-AU"/>
        </w:rPr>
        <w:t>Minnett</w:t>
      </w:r>
      <w:proofErr w:type="spellEnd"/>
      <w:r w:rsidRPr="00BC171B">
        <w:rPr>
          <w:sz w:val="20"/>
          <w:szCs w:val="20"/>
          <w:lang w:eastAsia="en-AU"/>
        </w:rPr>
        <w:t xml:space="preserve"> Limited, Ord </w:t>
      </w:r>
      <w:proofErr w:type="spellStart"/>
      <w:r w:rsidRPr="00BC171B">
        <w:rPr>
          <w:sz w:val="20"/>
          <w:szCs w:val="20"/>
          <w:lang w:eastAsia="en-AU"/>
        </w:rPr>
        <w:t>Minnett</w:t>
      </w:r>
      <w:proofErr w:type="spellEnd"/>
      <w:r w:rsidRPr="00BC171B">
        <w:rPr>
          <w:sz w:val="20"/>
          <w:szCs w:val="20"/>
          <w:lang w:eastAsia="en-AU"/>
        </w:rPr>
        <w:t xml:space="preserve"> Financial Planning Pty Limited, Ord </w:t>
      </w:r>
      <w:proofErr w:type="spellStart"/>
      <w:r w:rsidRPr="00BC171B">
        <w:rPr>
          <w:sz w:val="20"/>
          <w:szCs w:val="20"/>
          <w:lang w:eastAsia="en-AU"/>
        </w:rPr>
        <w:t>Minnett</w:t>
      </w:r>
      <w:proofErr w:type="spellEnd"/>
      <w:r w:rsidRPr="00BC171B">
        <w:rPr>
          <w:sz w:val="20"/>
          <w:szCs w:val="20"/>
          <w:lang w:eastAsia="en-AU"/>
        </w:rPr>
        <w:t xml:space="preserve"> Management Limited nor Ord </w:t>
      </w:r>
      <w:proofErr w:type="spellStart"/>
      <w:r w:rsidRPr="00BC171B">
        <w:rPr>
          <w:sz w:val="20"/>
          <w:szCs w:val="20"/>
          <w:lang w:eastAsia="en-AU"/>
        </w:rPr>
        <w:t>Minnett</w:t>
      </w:r>
      <w:proofErr w:type="spellEnd"/>
      <w:r w:rsidRPr="00BC171B">
        <w:rPr>
          <w:sz w:val="20"/>
          <w:szCs w:val="20"/>
          <w:lang w:eastAsia="en-AU"/>
        </w:rPr>
        <w:t xml:space="preserve"> Hong Kong Limited ("collectively Ord </w:t>
      </w:r>
      <w:proofErr w:type="spellStart"/>
      <w:r w:rsidRPr="00BC171B">
        <w:rPr>
          <w:sz w:val="20"/>
          <w:szCs w:val="20"/>
          <w:lang w:eastAsia="en-AU"/>
        </w:rPr>
        <w:t>Minnett</w:t>
      </w:r>
      <w:proofErr w:type="spellEnd"/>
      <w:r w:rsidRPr="00BC171B">
        <w:rPr>
          <w:sz w:val="20"/>
          <w:szCs w:val="20"/>
          <w:lang w:eastAsia="en-AU"/>
        </w:rPr>
        <w:t xml:space="preserve">") encourage the use of e-mail, SMS, fax or other electronic means to place orders. Ord </w:t>
      </w:r>
      <w:proofErr w:type="spellStart"/>
      <w:r w:rsidRPr="00BC171B">
        <w:rPr>
          <w:sz w:val="20"/>
          <w:szCs w:val="20"/>
          <w:lang w:eastAsia="en-AU"/>
        </w:rPr>
        <w:t>Minnett</w:t>
      </w:r>
      <w:proofErr w:type="spellEnd"/>
      <w:r w:rsidRPr="00BC171B">
        <w:rPr>
          <w:sz w:val="20"/>
          <w:szCs w:val="20"/>
          <w:lang w:eastAsia="en-AU"/>
        </w:rPr>
        <w:t xml:space="preserve"> will not accept liability for any loss arising from instructions that have not been confirmed directly with an Ord </w:t>
      </w:r>
      <w:proofErr w:type="spellStart"/>
      <w:r w:rsidRPr="00BC171B">
        <w:rPr>
          <w:sz w:val="20"/>
          <w:szCs w:val="20"/>
          <w:lang w:eastAsia="en-AU"/>
        </w:rPr>
        <w:t>Minnett</w:t>
      </w:r>
      <w:proofErr w:type="spellEnd"/>
      <w:r w:rsidRPr="00BC171B">
        <w:rPr>
          <w:sz w:val="20"/>
          <w:szCs w:val="20"/>
          <w:lang w:eastAsia="en-AU"/>
        </w:rPr>
        <w:t xml:space="preserve"> representative</w:t>
      </w:r>
      <w:r>
        <w:rPr>
          <w:lang w:eastAsia="en-AU"/>
        </w:rPr>
        <w:t>.</w:t>
      </w:r>
    </w:p>
    <w:p w14:paraId="23DF6247" w14:textId="77777777" w:rsidR="000D3836" w:rsidRPr="009B4C13" w:rsidRDefault="000D3836" w:rsidP="00BC171B">
      <w:pPr>
        <w:spacing w:before="0" w:after="0" w:line="240" w:lineRule="auto"/>
        <w:rPr>
          <w:rFonts w:ascii="Calibri" w:hAnsi="Calibri" w:cs="Times New Roman"/>
          <w:szCs w:val="24"/>
        </w:rPr>
      </w:pPr>
    </w:p>
    <w:sectPr w:rsidR="000D3836" w:rsidRPr="009B4C13" w:rsidSect="000D3836">
      <w:headerReference w:type="default" r:id="rId28"/>
      <w:footerReference w:type="default" r:id="rId29"/>
      <w:headerReference w:type="first" r:id="rId30"/>
      <w:footerReference w:type="first" r:id="rId31"/>
      <w:type w:val="continuous"/>
      <w:pgSz w:w="12240" w:h="15840"/>
      <w:pgMar w:top="1134" w:right="1394" w:bottom="1134"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967EB" w14:textId="77777777" w:rsidR="000D3836" w:rsidRDefault="000D3836" w:rsidP="000D28B5">
      <w:pPr>
        <w:spacing w:before="0" w:after="0" w:line="240" w:lineRule="auto"/>
      </w:pPr>
      <w:r>
        <w:separator/>
      </w:r>
    </w:p>
  </w:endnote>
  <w:endnote w:type="continuationSeparator" w:id="0">
    <w:p w14:paraId="6A0B0F44" w14:textId="77777777" w:rsidR="000D3836" w:rsidRDefault="000D3836" w:rsidP="000D28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Helvetica 55 Roman">
    <w:altName w:val="Helvetica 55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3496CE" w14:textId="77777777" w:rsidR="000D3836" w:rsidRPr="00562A2A" w:rsidRDefault="000D3836">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368A091F" w14:textId="77777777" w:rsidR="000D3836" w:rsidRDefault="000D3836" w:rsidP="00886353">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B5C62A" w14:textId="77777777" w:rsidR="000D3836" w:rsidRDefault="000D3836" w:rsidP="00064466">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72F5A" w14:textId="77777777" w:rsidR="00C320E8" w:rsidRPr="00562A2A" w:rsidRDefault="00C320E8">
    <w:pPr>
      <w:pStyle w:val="Footer"/>
      <w:jc w:val="center"/>
      <w:rPr>
        <w:rFonts w:ascii="Times New Roman" w:hAnsi="Times New Roman" w:cs="Times New Roman"/>
        <w:sz w:val="16"/>
        <w:szCs w:val="16"/>
      </w:rPr>
    </w:pPr>
    <w:r w:rsidRPr="00562A2A">
      <w:rPr>
        <w:rFonts w:ascii="Times New Roman" w:hAnsi="Times New Roman" w:cs="Times New Roman"/>
        <w:sz w:val="16"/>
        <w:szCs w:val="16"/>
      </w:rPr>
      <w:fldChar w:fldCharType="begin"/>
    </w:r>
    <w:r w:rsidRPr="00562A2A">
      <w:rPr>
        <w:rFonts w:ascii="Times New Roman" w:hAnsi="Times New Roman" w:cs="Times New Roman"/>
        <w:sz w:val="16"/>
        <w:szCs w:val="16"/>
      </w:rPr>
      <w:instrText xml:space="preserve"> PAGE   \* MERGEFORMAT </w:instrText>
    </w:r>
    <w:r w:rsidRPr="00562A2A">
      <w:rPr>
        <w:rFonts w:ascii="Times New Roman" w:hAnsi="Times New Roman" w:cs="Times New Roman"/>
        <w:sz w:val="16"/>
        <w:szCs w:val="16"/>
      </w:rPr>
      <w:fldChar w:fldCharType="separate"/>
    </w:r>
    <w:r>
      <w:rPr>
        <w:rFonts w:ascii="Times New Roman" w:hAnsi="Times New Roman" w:cs="Times New Roman"/>
        <w:noProof/>
        <w:sz w:val="16"/>
        <w:szCs w:val="16"/>
      </w:rPr>
      <w:t>5</w:t>
    </w:r>
    <w:r w:rsidRPr="00562A2A">
      <w:rPr>
        <w:rFonts w:ascii="Times New Roman" w:hAnsi="Times New Roman" w:cs="Times New Roman"/>
        <w:noProof/>
        <w:sz w:val="16"/>
        <w:szCs w:val="16"/>
      </w:rPr>
      <w:fldChar w:fldCharType="end"/>
    </w:r>
  </w:p>
  <w:p w14:paraId="36705AB3" w14:textId="77777777" w:rsidR="00C320E8" w:rsidRDefault="00C320E8" w:rsidP="00886353">
    <w:pPr>
      <w:pStyle w:val="Footer"/>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4855C" w14:textId="77777777" w:rsidR="00C320E8" w:rsidRDefault="00C320E8" w:rsidP="00064466">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80B42" w14:textId="77777777" w:rsidR="000D3836" w:rsidRDefault="000D3836" w:rsidP="000D28B5">
      <w:pPr>
        <w:spacing w:before="0" w:after="0" w:line="240" w:lineRule="auto"/>
      </w:pPr>
      <w:r>
        <w:separator/>
      </w:r>
    </w:p>
  </w:footnote>
  <w:footnote w:type="continuationSeparator" w:id="0">
    <w:p w14:paraId="52E2C893" w14:textId="77777777" w:rsidR="000D3836" w:rsidRDefault="000D3836" w:rsidP="000D28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13F444" w14:textId="77777777" w:rsidR="000D3836" w:rsidRDefault="000D3836" w:rsidP="00064466">
    <w:pPr>
      <w:pStyle w:val="Header"/>
      <w:ind w:left="-851"/>
      <w:jc w:val="right"/>
    </w:pPr>
  </w:p>
  <w:p w14:paraId="5E8EC744" w14:textId="77777777" w:rsidR="000D3836" w:rsidRDefault="000D3836" w:rsidP="00064466">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ECD2F" w14:textId="77777777" w:rsidR="000D3836" w:rsidRDefault="000D3836" w:rsidP="00886353">
    <w:pPr>
      <w:pStyle w:val="Header"/>
      <w:ind w:left="-567"/>
      <w:jc w:val="right"/>
      <w:rPr>
        <w:noProof/>
        <w:highlight w:val="yellow"/>
        <w:lang w:eastAsia="en-AU"/>
      </w:rPr>
    </w:pPr>
  </w:p>
  <w:p w14:paraId="3C6271FF" w14:textId="77777777" w:rsidR="000D3836" w:rsidRDefault="000D3836" w:rsidP="00886353">
    <w:pPr>
      <w:pStyle w:val="Header"/>
      <w:ind w:left="-567"/>
      <w:jc w:val="right"/>
      <w:rPr>
        <w:noProof/>
        <w:highlight w:val="yellow"/>
        <w:lang w:eastAsia="en-A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59E7E9" w14:textId="77777777" w:rsidR="00C320E8" w:rsidRDefault="00C320E8" w:rsidP="00064466">
    <w:pPr>
      <w:pStyle w:val="Header"/>
      <w:ind w:left="-851"/>
      <w:jc w:val="right"/>
    </w:pPr>
  </w:p>
  <w:p w14:paraId="122280CE" w14:textId="77777777" w:rsidR="00C320E8" w:rsidRDefault="00C320E8" w:rsidP="0006446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2A817" w14:textId="77777777" w:rsidR="00C320E8" w:rsidRDefault="00C320E8" w:rsidP="00886353">
    <w:pPr>
      <w:pStyle w:val="Header"/>
      <w:ind w:left="-567"/>
      <w:jc w:val="right"/>
      <w:rPr>
        <w:noProof/>
        <w:highlight w:val="yellow"/>
        <w:lang w:eastAsia="en-AU"/>
      </w:rPr>
    </w:pPr>
  </w:p>
  <w:p w14:paraId="13B74B22" w14:textId="77777777" w:rsidR="00C320E8" w:rsidRDefault="00C320E8" w:rsidP="00886353">
    <w:pPr>
      <w:pStyle w:val="Header"/>
      <w:ind w:left="-567"/>
      <w:jc w:val="right"/>
      <w:rPr>
        <w:noProof/>
        <w:highlight w:val="yellow"/>
        <w:lang w:eastAsia="en-A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12F07D8"/>
    <w:multiLevelType w:val="multilevel"/>
    <w:tmpl w:val="CDA27688"/>
    <w:lvl w:ilvl="0">
      <w:start w:val="1"/>
      <w:numFmt w:val="decimal"/>
      <w:pStyle w:val="Level1numbering"/>
      <w:lvlText w:val="%1"/>
      <w:lvlJc w:val="left"/>
      <w:pPr>
        <w:tabs>
          <w:tab w:val="num" w:pos="851"/>
        </w:tabs>
        <w:ind w:left="851" w:hanging="851"/>
      </w:pPr>
      <w:rPr>
        <w:rFonts w:cs="Times New Roman" w:hint="default"/>
      </w:rPr>
    </w:lvl>
    <w:lvl w:ilvl="1">
      <w:start w:val="1"/>
      <w:numFmt w:val="decimal"/>
      <w:pStyle w:val="Level2numbering"/>
      <w:lvlText w:val="%1.%2"/>
      <w:lvlJc w:val="left"/>
      <w:pPr>
        <w:tabs>
          <w:tab w:val="num" w:pos="1701"/>
        </w:tabs>
        <w:ind w:left="1701" w:hanging="850"/>
      </w:pPr>
      <w:rPr>
        <w:rFonts w:cs="Times New Roman" w:hint="default"/>
      </w:rPr>
    </w:lvl>
    <w:lvl w:ilvl="2">
      <w:start w:val="1"/>
      <w:numFmt w:val="decimal"/>
      <w:pStyle w:val="Level3numbering"/>
      <w:lvlText w:val="%1.%2.%3"/>
      <w:lvlJc w:val="left"/>
      <w:pPr>
        <w:tabs>
          <w:tab w:val="num" w:pos="3288"/>
        </w:tabs>
        <w:ind w:left="2773" w:hanging="925"/>
      </w:pPr>
      <w:rPr>
        <w:rFonts w:cs="Times New Roman" w:hint="default"/>
      </w:rPr>
    </w:lvl>
    <w:lvl w:ilvl="3">
      <w:start w:val="1"/>
      <w:numFmt w:val="lowerLetter"/>
      <w:lvlText w:val="(%4)"/>
      <w:lvlJc w:val="left"/>
      <w:pPr>
        <w:tabs>
          <w:tab w:val="num" w:pos="3697"/>
        </w:tabs>
        <w:ind w:left="3697" w:hanging="924"/>
      </w:pPr>
      <w:rPr>
        <w:rFonts w:cs="Times New Roman" w:hint="default"/>
      </w:rPr>
    </w:lvl>
    <w:lvl w:ilvl="4">
      <w:start w:val="1"/>
      <w:numFmt w:val="lowerLetter"/>
      <w:lvlText w:val="(%5)"/>
      <w:lvlJc w:val="left"/>
      <w:pPr>
        <w:tabs>
          <w:tab w:val="num" w:pos="1848"/>
        </w:tabs>
        <w:ind w:left="1848" w:hanging="924"/>
      </w:pPr>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pPr>
        <w:ind w:left="1848" w:hanging="1848"/>
      </w:pPr>
      <w:rPr>
        <w:rFonts w:cs="Times New Roman" w:hint="default"/>
        <w:b w:val="0"/>
        <w:bCs w:val="0"/>
        <w:i w:val="0"/>
        <w:iCs w:val="0"/>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 w15:restartNumberingAfterBreak="1">
    <w:nsid w:val="047524D4"/>
    <w:multiLevelType w:val="hybridMultilevel"/>
    <w:tmpl w:val="1B141A3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1">
    <w:nsid w:val="08AC6EAA"/>
    <w:multiLevelType w:val="hybridMultilevel"/>
    <w:tmpl w:val="90F450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1">
    <w:nsid w:val="0B0743B7"/>
    <w:multiLevelType w:val="multilevel"/>
    <w:tmpl w:val="CB10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1">
    <w:nsid w:val="0ECC6407"/>
    <w:multiLevelType w:val="hybridMultilevel"/>
    <w:tmpl w:val="6EF4EE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1">
    <w:nsid w:val="17821951"/>
    <w:multiLevelType w:val="hybridMultilevel"/>
    <w:tmpl w:val="EB48CF8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18412D7A"/>
    <w:multiLevelType w:val="hybridMultilevel"/>
    <w:tmpl w:val="DD94F222"/>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1DEC26AD"/>
    <w:multiLevelType w:val="hybridMultilevel"/>
    <w:tmpl w:val="0A9083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1">
    <w:nsid w:val="20C727F1"/>
    <w:multiLevelType w:val="hybridMultilevel"/>
    <w:tmpl w:val="05D4FE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1">
    <w:nsid w:val="250D1619"/>
    <w:multiLevelType w:val="hybridMultilevel"/>
    <w:tmpl w:val="EA821D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1">
    <w:nsid w:val="26CD3602"/>
    <w:multiLevelType w:val="hybridMultilevel"/>
    <w:tmpl w:val="0CA0D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1">
    <w:nsid w:val="2B2D09DB"/>
    <w:multiLevelType w:val="hybridMultilevel"/>
    <w:tmpl w:val="A728481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2B615EE4"/>
    <w:multiLevelType w:val="multilevel"/>
    <w:tmpl w:val="D046CEA8"/>
    <w:lvl w:ilvl="0">
      <w:start w:val="1"/>
      <w:numFmt w:val="bullet"/>
      <w:pStyle w:val="Bulletlist1"/>
      <w:lvlText w:val=""/>
      <w:lvlJc w:val="left"/>
      <w:pPr>
        <w:tabs>
          <w:tab w:val="num" w:pos="851"/>
        </w:tabs>
        <w:ind w:left="851" w:hanging="851"/>
      </w:pPr>
      <w:rPr>
        <w:rFonts w:ascii="Symbol" w:hAnsi="Symbol" w:hint="default"/>
        <w:sz w:val="18"/>
      </w:rPr>
    </w:lvl>
    <w:lvl w:ilvl="1">
      <w:start w:val="1"/>
      <w:numFmt w:val="bullet"/>
      <w:lvlRestart w:val="0"/>
      <w:pStyle w:val="Bulletlist2"/>
      <w:lvlText w:val=""/>
      <w:lvlJc w:val="left"/>
      <w:pPr>
        <w:tabs>
          <w:tab w:val="num" w:pos="1701"/>
        </w:tabs>
        <w:ind w:left="1701" w:hanging="850"/>
      </w:pPr>
      <w:rPr>
        <w:rFonts w:ascii="Symbol" w:hAnsi="Symbol" w:hint="default"/>
        <w:sz w:val="18"/>
      </w:rPr>
    </w:lvl>
    <w:lvl w:ilvl="2">
      <w:start w:val="1"/>
      <w:numFmt w:val="bullet"/>
      <w:pStyle w:val="Bulletlist3"/>
      <w:lvlText w:val=""/>
      <w:lvlJc w:val="left"/>
      <w:pPr>
        <w:tabs>
          <w:tab w:val="num" w:pos="2552"/>
        </w:tabs>
        <w:ind w:left="2552" w:hanging="851"/>
      </w:pPr>
      <w:rPr>
        <w:rFonts w:ascii="Symbol" w:hAnsi="Symbol" w:hint="default"/>
        <w:sz w:val="18"/>
      </w:rPr>
    </w:lvl>
    <w:lvl w:ilvl="3">
      <w:start w:val="1"/>
      <w:numFmt w:val="bullet"/>
      <w:pStyle w:val="Bulletlist4"/>
      <w:lvlText w:val=""/>
      <w:lvlJc w:val="left"/>
      <w:pPr>
        <w:tabs>
          <w:tab w:val="num" w:pos="3402"/>
        </w:tabs>
        <w:ind w:left="3402" w:hanging="850"/>
      </w:pPr>
      <w:rPr>
        <w:rFonts w:ascii="Symbol" w:hAnsi="Symbol" w:hint="default"/>
        <w:sz w:val="18"/>
      </w:rPr>
    </w:lvl>
    <w:lvl w:ilvl="4">
      <w:start w:val="1"/>
      <w:numFmt w:val="bullet"/>
      <w:pStyle w:val="Bulletlist5"/>
      <w:lvlText w:val=""/>
      <w:lvlJc w:val="left"/>
      <w:pPr>
        <w:tabs>
          <w:tab w:val="num" w:pos="4253"/>
        </w:tabs>
        <w:ind w:left="4253" w:hanging="851"/>
      </w:pPr>
      <w:rPr>
        <w:rFonts w:ascii="Symbol" w:hAnsi="Symbol" w:hint="default"/>
        <w:sz w:val="18"/>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15:restartNumberingAfterBreak="1">
    <w:nsid w:val="307527F7"/>
    <w:multiLevelType w:val="hybridMultilevel"/>
    <w:tmpl w:val="DF24F19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1">
    <w:nsid w:val="320A6E7E"/>
    <w:multiLevelType w:val="hybridMultilevel"/>
    <w:tmpl w:val="5FA233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378106F0"/>
    <w:multiLevelType w:val="hybridMultilevel"/>
    <w:tmpl w:val="8836043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386778FA"/>
    <w:multiLevelType w:val="hybridMultilevel"/>
    <w:tmpl w:val="DC42750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1">
    <w:nsid w:val="38CD4203"/>
    <w:multiLevelType w:val="hybridMultilevel"/>
    <w:tmpl w:val="5DAC044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1">
    <w:nsid w:val="3FEC71F5"/>
    <w:multiLevelType w:val="hybridMultilevel"/>
    <w:tmpl w:val="4260E0B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1">
    <w:nsid w:val="446A5A0E"/>
    <w:multiLevelType w:val="hybridMultilevel"/>
    <w:tmpl w:val="11C61AFE"/>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1">
    <w:nsid w:val="51446D77"/>
    <w:multiLevelType w:val="hybridMultilevel"/>
    <w:tmpl w:val="4E80D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1">
    <w:nsid w:val="522348E9"/>
    <w:multiLevelType w:val="hybridMultilevel"/>
    <w:tmpl w:val="A25E7E9A"/>
    <w:lvl w:ilvl="0" w:tplc="04090001">
      <w:start w:val="1"/>
      <w:numFmt w:val="bullet"/>
      <w:lvlText w:val=""/>
      <w:lvlJc w:val="left"/>
      <w:pPr>
        <w:tabs>
          <w:tab w:val="num" w:pos="1281"/>
        </w:tabs>
        <w:ind w:left="1281" w:hanging="360"/>
      </w:pPr>
      <w:rPr>
        <w:rFonts w:ascii="Symbol" w:hAnsi="Symbol" w:hint="default"/>
      </w:rPr>
    </w:lvl>
    <w:lvl w:ilvl="1" w:tplc="04090003">
      <w:start w:val="1"/>
      <w:numFmt w:val="bullet"/>
      <w:lvlText w:val="o"/>
      <w:lvlJc w:val="left"/>
      <w:pPr>
        <w:tabs>
          <w:tab w:val="num" w:pos="2001"/>
        </w:tabs>
        <w:ind w:left="2001" w:hanging="360"/>
      </w:pPr>
      <w:rPr>
        <w:rFonts w:ascii="Courier New" w:hAnsi="Courier New" w:hint="default"/>
      </w:rPr>
    </w:lvl>
    <w:lvl w:ilvl="2" w:tplc="04090005" w:tentative="1">
      <w:start w:val="1"/>
      <w:numFmt w:val="bullet"/>
      <w:lvlText w:val=""/>
      <w:lvlJc w:val="left"/>
      <w:pPr>
        <w:tabs>
          <w:tab w:val="num" w:pos="2721"/>
        </w:tabs>
        <w:ind w:left="2721" w:hanging="360"/>
      </w:pPr>
      <w:rPr>
        <w:rFonts w:ascii="Wingdings" w:hAnsi="Wingdings" w:hint="default"/>
      </w:rPr>
    </w:lvl>
    <w:lvl w:ilvl="3" w:tplc="04090001" w:tentative="1">
      <w:start w:val="1"/>
      <w:numFmt w:val="bullet"/>
      <w:lvlText w:val=""/>
      <w:lvlJc w:val="left"/>
      <w:pPr>
        <w:tabs>
          <w:tab w:val="num" w:pos="3441"/>
        </w:tabs>
        <w:ind w:left="3441" w:hanging="360"/>
      </w:pPr>
      <w:rPr>
        <w:rFonts w:ascii="Symbol" w:hAnsi="Symbol" w:hint="default"/>
      </w:rPr>
    </w:lvl>
    <w:lvl w:ilvl="4" w:tplc="04090003" w:tentative="1">
      <w:start w:val="1"/>
      <w:numFmt w:val="bullet"/>
      <w:lvlText w:val="o"/>
      <w:lvlJc w:val="left"/>
      <w:pPr>
        <w:tabs>
          <w:tab w:val="num" w:pos="4161"/>
        </w:tabs>
        <w:ind w:left="4161" w:hanging="360"/>
      </w:pPr>
      <w:rPr>
        <w:rFonts w:ascii="Courier New" w:hAnsi="Courier New" w:hint="default"/>
      </w:rPr>
    </w:lvl>
    <w:lvl w:ilvl="5" w:tplc="04090005" w:tentative="1">
      <w:start w:val="1"/>
      <w:numFmt w:val="bullet"/>
      <w:lvlText w:val=""/>
      <w:lvlJc w:val="left"/>
      <w:pPr>
        <w:tabs>
          <w:tab w:val="num" w:pos="4881"/>
        </w:tabs>
        <w:ind w:left="4881" w:hanging="360"/>
      </w:pPr>
      <w:rPr>
        <w:rFonts w:ascii="Wingdings" w:hAnsi="Wingdings" w:hint="default"/>
      </w:rPr>
    </w:lvl>
    <w:lvl w:ilvl="6" w:tplc="04090001" w:tentative="1">
      <w:start w:val="1"/>
      <w:numFmt w:val="bullet"/>
      <w:lvlText w:val=""/>
      <w:lvlJc w:val="left"/>
      <w:pPr>
        <w:tabs>
          <w:tab w:val="num" w:pos="5601"/>
        </w:tabs>
        <w:ind w:left="5601" w:hanging="360"/>
      </w:pPr>
      <w:rPr>
        <w:rFonts w:ascii="Symbol" w:hAnsi="Symbol" w:hint="default"/>
      </w:rPr>
    </w:lvl>
    <w:lvl w:ilvl="7" w:tplc="04090003" w:tentative="1">
      <w:start w:val="1"/>
      <w:numFmt w:val="bullet"/>
      <w:lvlText w:val="o"/>
      <w:lvlJc w:val="left"/>
      <w:pPr>
        <w:tabs>
          <w:tab w:val="num" w:pos="6321"/>
        </w:tabs>
        <w:ind w:left="6321" w:hanging="360"/>
      </w:pPr>
      <w:rPr>
        <w:rFonts w:ascii="Courier New" w:hAnsi="Courier New" w:hint="default"/>
      </w:rPr>
    </w:lvl>
    <w:lvl w:ilvl="8" w:tplc="04090005" w:tentative="1">
      <w:start w:val="1"/>
      <w:numFmt w:val="bullet"/>
      <w:lvlText w:val=""/>
      <w:lvlJc w:val="left"/>
      <w:pPr>
        <w:tabs>
          <w:tab w:val="num" w:pos="7041"/>
        </w:tabs>
        <w:ind w:left="7041" w:hanging="360"/>
      </w:pPr>
      <w:rPr>
        <w:rFonts w:ascii="Wingdings" w:hAnsi="Wingdings" w:hint="default"/>
      </w:rPr>
    </w:lvl>
  </w:abstractNum>
  <w:abstractNum w:abstractNumId="22" w15:restartNumberingAfterBreak="1">
    <w:nsid w:val="566075B4"/>
    <w:multiLevelType w:val="hybridMultilevel"/>
    <w:tmpl w:val="4DBC99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1">
    <w:nsid w:val="577D2330"/>
    <w:multiLevelType w:val="hybridMultilevel"/>
    <w:tmpl w:val="2DE03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1">
    <w:nsid w:val="587251CC"/>
    <w:multiLevelType w:val="hybridMultilevel"/>
    <w:tmpl w:val="A2AC3FF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1">
    <w:nsid w:val="5B8A0A04"/>
    <w:multiLevelType w:val="hybridMultilevel"/>
    <w:tmpl w:val="FBC69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1">
    <w:nsid w:val="5E900D78"/>
    <w:multiLevelType w:val="multilevel"/>
    <w:tmpl w:val="F1201E84"/>
    <w:lvl w:ilvl="0">
      <w:start w:val="1"/>
      <w:numFmt w:val="upperRoman"/>
      <w:lvlText w:val="%1."/>
      <w:legacy w:legacy="1" w:legacySpace="0" w:legacyIndent="720"/>
      <w:lvlJc w:val="left"/>
      <w:pPr>
        <w:ind w:left="720" w:hanging="720"/>
      </w:pPr>
      <w:rPr>
        <w:rFonts w:cs="Times New Roman"/>
      </w:rPr>
    </w:lvl>
    <w:lvl w:ilvl="1">
      <w:start w:val="1"/>
      <w:numFmt w:val="upperLetter"/>
      <w:lvlText w:val="%2."/>
      <w:legacy w:legacy="1" w:legacySpace="0" w:legacyIndent="720"/>
      <w:lvlJc w:val="left"/>
      <w:pPr>
        <w:ind w:left="1440" w:hanging="720"/>
      </w:pPr>
      <w:rPr>
        <w:rFonts w:cs="Times New Roman"/>
      </w:rPr>
    </w:lvl>
    <w:lvl w:ilvl="2">
      <w:start w:val="1"/>
      <w:numFmt w:val="decimal"/>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27" w15:restartNumberingAfterBreak="1">
    <w:nsid w:val="60B725C6"/>
    <w:multiLevelType w:val="hybridMultilevel"/>
    <w:tmpl w:val="9C305E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1">
    <w:nsid w:val="60D05327"/>
    <w:multiLevelType w:val="hybridMultilevel"/>
    <w:tmpl w:val="791EDB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1">
    <w:nsid w:val="6206591A"/>
    <w:multiLevelType w:val="hybridMultilevel"/>
    <w:tmpl w:val="946EA9FC"/>
    <w:lvl w:ilvl="0" w:tplc="1CAEC63C">
      <w:start w:val="1"/>
      <w:numFmt w:val="decimal"/>
      <w:lvlText w:val="%1."/>
      <w:lvlJc w:val="left"/>
      <w:pPr>
        <w:ind w:left="1905" w:hanging="154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1">
    <w:nsid w:val="630873FC"/>
    <w:multiLevelType w:val="hybridMultilevel"/>
    <w:tmpl w:val="A002F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1">
    <w:nsid w:val="764F7A8E"/>
    <w:multiLevelType w:val="hybridMultilevel"/>
    <w:tmpl w:val="F21E04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1">
    <w:nsid w:val="78BC2963"/>
    <w:multiLevelType w:val="hybridMultilevel"/>
    <w:tmpl w:val="ED185204"/>
    <w:lvl w:ilvl="0" w:tplc="04090003">
      <w:start w:val="1"/>
      <w:numFmt w:val="bullet"/>
      <w:lvlText w:val="o"/>
      <w:lvlJc w:val="left"/>
      <w:pPr>
        <w:tabs>
          <w:tab w:val="num" w:pos="1440"/>
        </w:tabs>
        <w:ind w:left="144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1">
    <w:nsid w:val="7DB55DA5"/>
    <w:multiLevelType w:val="hybridMultilevel"/>
    <w:tmpl w:val="74AA2C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1">
    <w:nsid w:val="7E7F2A91"/>
    <w:multiLevelType w:val="hybridMultilevel"/>
    <w:tmpl w:val="8D5A436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6"/>
  </w:num>
  <w:num w:numId="4">
    <w:abstractNumId w:val="24"/>
  </w:num>
  <w:num w:numId="5">
    <w:abstractNumId w:val="12"/>
  </w:num>
  <w:num w:numId="6">
    <w:abstractNumId w:val="0"/>
  </w:num>
  <w:num w:numId="7">
    <w:abstractNumId w:val="3"/>
  </w:num>
  <w:num w:numId="8">
    <w:abstractNumId w:val="26"/>
  </w:num>
  <w:num w:numId="9">
    <w:abstractNumId w:val="13"/>
  </w:num>
  <w:num w:numId="10">
    <w:abstractNumId w:val="4"/>
  </w:num>
  <w:num w:numId="11">
    <w:abstractNumId w:val="1"/>
  </w:num>
  <w:num w:numId="12">
    <w:abstractNumId w:val="33"/>
  </w:num>
  <w:num w:numId="13">
    <w:abstractNumId w:val="21"/>
  </w:num>
  <w:num w:numId="14">
    <w:abstractNumId w:val="15"/>
  </w:num>
  <w:num w:numId="15">
    <w:abstractNumId w:val="32"/>
  </w:num>
  <w:num w:numId="16">
    <w:abstractNumId w:val="14"/>
  </w:num>
  <w:num w:numId="17">
    <w:abstractNumId w:val="11"/>
  </w:num>
  <w:num w:numId="18">
    <w:abstractNumId w:val="6"/>
  </w:num>
  <w:num w:numId="19">
    <w:abstractNumId w:val="5"/>
  </w:num>
  <w:num w:numId="20">
    <w:abstractNumId w:val="27"/>
  </w:num>
  <w:num w:numId="21">
    <w:abstractNumId w:val="22"/>
  </w:num>
  <w:num w:numId="22">
    <w:abstractNumId w:val="7"/>
  </w:num>
  <w:num w:numId="23">
    <w:abstractNumId w:val="25"/>
  </w:num>
  <w:num w:numId="24">
    <w:abstractNumId w:val="2"/>
  </w:num>
  <w:num w:numId="25">
    <w:abstractNumId w:val="18"/>
  </w:num>
  <w:num w:numId="26">
    <w:abstractNumId w:val="28"/>
  </w:num>
  <w:num w:numId="27">
    <w:abstractNumId w:val="31"/>
  </w:num>
  <w:num w:numId="28">
    <w:abstractNumId w:val="29"/>
  </w:num>
  <w:num w:numId="29">
    <w:abstractNumId w:val="19"/>
  </w:num>
  <w:num w:numId="30">
    <w:abstractNumId w:val="23"/>
  </w:num>
  <w:num w:numId="31">
    <w:abstractNumId w:val="30"/>
  </w:num>
  <w:num w:numId="32">
    <w:abstractNumId w:val="8"/>
  </w:num>
  <w:num w:numId="33">
    <w:abstractNumId w:val="34"/>
  </w:num>
  <w:num w:numId="34">
    <w:abstractNumId w:val="10"/>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819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B"/>
    <w:rsid w:val="00001636"/>
    <w:rsid w:val="0001094A"/>
    <w:rsid w:val="00014E00"/>
    <w:rsid w:val="000151E5"/>
    <w:rsid w:val="00026228"/>
    <w:rsid w:val="00056630"/>
    <w:rsid w:val="00060828"/>
    <w:rsid w:val="00062506"/>
    <w:rsid w:val="00064466"/>
    <w:rsid w:val="00081031"/>
    <w:rsid w:val="00082839"/>
    <w:rsid w:val="00092147"/>
    <w:rsid w:val="000A4A18"/>
    <w:rsid w:val="000B0EE4"/>
    <w:rsid w:val="000D28B5"/>
    <w:rsid w:val="000D3836"/>
    <w:rsid w:val="000E192B"/>
    <w:rsid w:val="00116E88"/>
    <w:rsid w:val="00131E9B"/>
    <w:rsid w:val="00160659"/>
    <w:rsid w:val="001626C1"/>
    <w:rsid w:val="00164476"/>
    <w:rsid w:val="00167D2F"/>
    <w:rsid w:val="00194B20"/>
    <w:rsid w:val="001A7450"/>
    <w:rsid w:val="001B49FF"/>
    <w:rsid w:val="001F0BCB"/>
    <w:rsid w:val="002014BD"/>
    <w:rsid w:val="00207820"/>
    <w:rsid w:val="002218B1"/>
    <w:rsid w:val="002324CA"/>
    <w:rsid w:val="002440BE"/>
    <w:rsid w:val="00254BAA"/>
    <w:rsid w:val="002617D1"/>
    <w:rsid w:val="00272BCB"/>
    <w:rsid w:val="00275CF9"/>
    <w:rsid w:val="002A3FE2"/>
    <w:rsid w:val="002A66D0"/>
    <w:rsid w:val="002B6786"/>
    <w:rsid w:val="002D2302"/>
    <w:rsid w:val="002F61BF"/>
    <w:rsid w:val="003046E3"/>
    <w:rsid w:val="0031102A"/>
    <w:rsid w:val="00314467"/>
    <w:rsid w:val="0033212B"/>
    <w:rsid w:val="00341236"/>
    <w:rsid w:val="0037357E"/>
    <w:rsid w:val="00385274"/>
    <w:rsid w:val="00390CB4"/>
    <w:rsid w:val="003B77E7"/>
    <w:rsid w:val="003E52DB"/>
    <w:rsid w:val="003F7DD7"/>
    <w:rsid w:val="00400A98"/>
    <w:rsid w:val="00426649"/>
    <w:rsid w:val="00442FB7"/>
    <w:rsid w:val="0044312B"/>
    <w:rsid w:val="004444CC"/>
    <w:rsid w:val="00461CEA"/>
    <w:rsid w:val="00471494"/>
    <w:rsid w:val="00483BB9"/>
    <w:rsid w:val="004855F7"/>
    <w:rsid w:val="00493443"/>
    <w:rsid w:val="004A15D0"/>
    <w:rsid w:val="004A17D5"/>
    <w:rsid w:val="004B221D"/>
    <w:rsid w:val="004B24BB"/>
    <w:rsid w:val="004D3C21"/>
    <w:rsid w:val="004E01C7"/>
    <w:rsid w:val="004E5D4B"/>
    <w:rsid w:val="004F79A3"/>
    <w:rsid w:val="005410A5"/>
    <w:rsid w:val="005439B1"/>
    <w:rsid w:val="00561AD9"/>
    <w:rsid w:val="00562A2A"/>
    <w:rsid w:val="00580E1A"/>
    <w:rsid w:val="005906CD"/>
    <w:rsid w:val="005969C4"/>
    <w:rsid w:val="005D3372"/>
    <w:rsid w:val="00602EE5"/>
    <w:rsid w:val="00622E0C"/>
    <w:rsid w:val="00632204"/>
    <w:rsid w:val="00646472"/>
    <w:rsid w:val="00646F20"/>
    <w:rsid w:val="006502E4"/>
    <w:rsid w:val="00651D0E"/>
    <w:rsid w:val="00653479"/>
    <w:rsid w:val="00653FFB"/>
    <w:rsid w:val="00654127"/>
    <w:rsid w:val="006714A9"/>
    <w:rsid w:val="00672EFB"/>
    <w:rsid w:val="006850C7"/>
    <w:rsid w:val="006872DC"/>
    <w:rsid w:val="006A0DE0"/>
    <w:rsid w:val="006D2CE6"/>
    <w:rsid w:val="006F5E3A"/>
    <w:rsid w:val="00724F05"/>
    <w:rsid w:val="00740D67"/>
    <w:rsid w:val="00746C5C"/>
    <w:rsid w:val="00750605"/>
    <w:rsid w:val="00750A65"/>
    <w:rsid w:val="0075683A"/>
    <w:rsid w:val="00767E47"/>
    <w:rsid w:val="00774650"/>
    <w:rsid w:val="00781781"/>
    <w:rsid w:val="00782846"/>
    <w:rsid w:val="00795799"/>
    <w:rsid w:val="007A7E45"/>
    <w:rsid w:val="007C1CF6"/>
    <w:rsid w:val="007D1F70"/>
    <w:rsid w:val="007D7460"/>
    <w:rsid w:val="007E3359"/>
    <w:rsid w:val="007E7A80"/>
    <w:rsid w:val="007F0B91"/>
    <w:rsid w:val="007F5D43"/>
    <w:rsid w:val="00810444"/>
    <w:rsid w:val="00811559"/>
    <w:rsid w:val="00813C99"/>
    <w:rsid w:val="00861653"/>
    <w:rsid w:val="00861DCF"/>
    <w:rsid w:val="00865705"/>
    <w:rsid w:val="00875A96"/>
    <w:rsid w:val="00886353"/>
    <w:rsid w:val="008A2640"/>
    <w:rsid w:val="008A2E40"/>
    <w:rsid w:val="008B0116"/>
    <w:rsid w:val="008B27C7"/>
    <w:rsid w:val="008B2D71"/>
    <w:rsid w:val="008B422F"/>
    <w:rsid w:val="008B7010"/>
    <w:rsid w:val="008B7BE2"/>
    <w:rsid w:val="008F6BC4"/>
    <w:rsid w:val="00963494"/>
    <w:rsid w:val="00982DB5"/>
    <w:rsid w:val="009846FF"/>
    <w:rsid w:val="00992DA9"/>
    <w:rsid w:val="00995116"/>
    <w:rsid w:val="009B3C89"/>
    <w:rsid w:val="009B4C13"/>
    <w:rsid w:val="009D7818"/>
    <w:rsid w:val="00A033C6"/>
    <w:rsid w:val="00A07692"/>
    <w:rsid w:val="00AA63B7"/>
    <w:rsid w:val="00AB221C"/>
    <w:rsid w:val="00AD5B5C"/>
    <w:rsid w:val="00AF486E"/>
    <w:rsid w:val="00AF62FE"/>
    <w:rsid w:val="00AF748E"/>
    <w:rsid w:val="00B06440"/>
    <w:rsid w:val="00B15A18"/>
    <w:rsid w:val="00B22CC1"/>
    <w:rsid w:val="00B374F4"/>
    <w:rsid w:val="00B40B55"/>
    <w:rsid w:val="00B42933"/>
    <w:rsid w:val="00B4616A"/>
    <w:rsid w:val="00B46C1D"/>
    <w:rsid w:val="00B5667C"/>
    <w:rsid w:val="00B8240A"/>
    <w:rsid w:val="00B94B2E"/>
    <w:rsid w:val="00BA1ED3"/>
    <w:rsid w:val="00BC171B"/>
    <w:rsid w:val="00BD0918"/>
    <w:rsid w:val="00BD415A"/>
    <w:rsid w:val="00BD6377"/>
    <w:rsid w:val="00BF17B0"/>
    <w:rsid w:val="00BF43D1"/>
    <w:rsid w:val="00C10567"/>
    <w:rsid w:val="00C12F44"/>
    <w:rsid w:val="00C320E8"/>
    <w:rsid w:val="00C40AF0"/>
    <w:rsid w:val="00C424A9"/>
    <w:rsid w:val="00C50480"/>
    <w:rsid w:val="00C915AC"/>
    <w:rsid w:val="00CB19DC"/>
    <w:rsid w:val="00CC1BBF"/>
    <w:rsid w:val="00CD0FA6"/>
    <w:rsid w:val="00D02CA0"/>
    <w:rsid w:val="00D15989"/>
    <w:rsid w:val="00D51B0E"/>
    <w:rsid w:val="00D72216"/>
    <w:rsid w:val="00D73C86"/>
    <w:rsid w:val="00D809D0"/>
    <w:rsid w:val="00D81D9B"/>
    <w:rsid w:val="00D903D6"/>
    <w:rsid w:val="00D925DA"/>
    <w:rsid w:val="00DA4C6C"/>
    <w:rsid w:val="00DB1BC9"/>
    <w:rsid w:val="00DC5406"/>
    <w:rsid w:val="00DD3671"/>
    <w:rsid w:val="00DE2C32"/>
    <w:rsid w:val="00DF0561"/>
    <w:rsid w:val="00DF2D79"/>
    <w:rsid w:val="00E12F59"/>
    <w:rsid w:val="00E26FC5"/>
    <w:rsid w:val="00E611A3"/>
    <w:rsid w:val="00EA60D9"/>
    <w:rsid w:val="00EB0035"/>
    <w:rsid w:val="00EB275C"/>
    <w:rsid w:val="00EC1213"/>
    <w:rsid w:val="00ED54E7"/>
    <w:rsid w:val="00ED6017"/>
    <w:rsid w:val="00EE2D65"/>
    <w:rsid w:val="00EF0C57"/>
    <w:rsid w:val="00F065C9"/>
    <w:rsid w:val="00F15759"/>
    <w:rsid w:val="00F15B12"/>
    <w:rsid w:val="00F22520"/>
    <w:rsid w:val="00F315F9"/>
    <w:rsid w:val="00F367D9"/>
    <w:rsid w:val="00F413BA"/>
    <w:rsid w:val="00F41590"/>
    <w:rsid w:val="00F526F7"/>
    <w:rsid w:val="00F535A6"/>
    <w:rsid w:val="00F65E32"/>
    <w:rsid w:val="00F726E0"/>
    <w:rsid w:val="00F733D1"/>
    <w:rsid w:val="00F7589E"/>
    <w:rsid w:val="00F76E13"/>
    <w:rsid w:val="00F81938"/>
    <w:rsid w:val="00FA1E04"/>
    <w:rsid w:val="00FA7B2D"/>
    <w:rsid w:val="00FB62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64E0E7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440"/>
    <w:pPr>
      <w:tabs>
        <w:tab w:val="left" w:pos="851"/>
        <w:tab w:val="left" w:pos="1701"/>
        <w:tab w:val="left" w:pos="2552"/>
      </w:tabs>
      <w:spacing w:before="60" w:after="60" w:line="312" w:lineRule="auto"/>
    </w:pPr>
    <w:rPr>
      <w:rFonts w:ascii="Trebuchet MS" w:hAnsi="Trebuchet MS" w:cs="Arial"/>
      <w:bCs/>
      <w:kern w:val="32"/>
      <w:sz w:val="24"/>
      <w:szCs w:val="22"/>
      <w:lang w:eastAsia="en-US"/>
    </w:rPr>
  </w:style>
  <w:style w:type="paragraph" w:styleId="Heading2">
    <w:name w:val="heading 2"/>
    <w:basedOn w:val="Normal"/>
    <w:next w:val="Normal"/>
    <w:link w:val="Heading2Char"/>
    <w:uiPriority w:val="99"/>
    <w:qFormat/>
    <w:rsid w:val="002218B1"/>
    <w:pPr>
      <w:keepNext/>
      <w:spacing w:before="240"/>
      <w:outlineLvl w:val="1"/>
    </w:pPr>
    <w:rPr>
      <w:rFonts w:ascii="Arial" w:hAnsi="Arial"/>
      <w:b/>
      <w:i/>
      <w:iCs/>
      <w:sz w:val="28"/>
      <w:szCs w:val="28"/>
    </w:rPr>
  </w:style>
  <w:style w:type="paragraph" w:styleId="Heading3">
    <w:name w:val="heading 3"/>
    <w:basedOn w:val="Heading2"/>
    <w:next w:val="Normal"/>
    <w:link w:val="Heading3Char"/>
    <w:uiPriority w:val="99"/>
    <w:qFormat/>
    <w:rsid w:val="002218B1"/>
    <w:pPr>
      <w:keepLines/>
      <w:widowControl w:val="0"/>
      <w:spacing w:after="120" w:line="240" w:lineRule="auto"/>
      <w:outlineLvl w:val="2"/>
    </w:pPr>
    <w:rPr>
      <w:i w:val="0"/>
      <w:iCs w:val="0"/>
      <w:sz w:val="20"/>
      <w:szCs w:val="20"/>
      <w:lang w:val="en-US"/>
    </w:rPr>
  </w:style>
  <w:style w:type="paragraph" w:styleId="Heading7">
    <w:name w:val="heading 7"/>
    <w:basedOn w:val="Normal"/>
    <w:next w:val="Normal"/>
    <w:link w:val="Heading7Char"/>
    <w:uiPriority w:val="99"/>
    <w:qFormat/>
    <w:rsid w:val="002218B1"/>
    <w:pPr>
      <w:spacing w:before="120" w:after="120"/>
      <w:outlineLvl w:val="6"/>
    </w:pPr>
    <w:rPr>
      <w:rFonts w:ascii="Arial" w:hAnsi="Arial"/>
      <w:bCs w:val="0"/>
      <w:kern w:val="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Pr>
      <w:rFonts w:ascii="Cambria" w:eastAsia="Times New Roman" w:hAnsi="Cambria" w:cs="Times New Roman"/>
      <w:b/>
      <w:bCs/>
      <w:i/>
      <w:iCs/>
      <w:kern w:val="32"/>
      <w:sz w:val="28"/>
      <w:szCs w:val="28"/>
      <w:lang w:eastAsia="en-US"/>
    </w:rPr>
  </w:style>
  <w:style w:type="character" w:customStyle="1" w:styleId="Heading3Char">
    <w:name w:val="Heading 3 Char"/>
    <w:link w:val="Heading3"/>
    <w:uiPriority w:val="9"/>
    <w:semiHidden/>
    <w:rPr>
      <w:rFonts w:ascii="Cambria" w:eastAsia="Times New Roman" w:hAnsi="Cambria" w:cs="Times New Roman"/>
      <w:b/>
      <w:bCs/>
      <w:kern w:val="32"/>
      <w:sz w:val="26"/>
      <w:szCs w:val="26"/>
      <w:lang w:eastAsia="en-US"/>
    </w:rPr>
  </w:style>
  <w:style w:type="character" w:customStyle="1" w:styleId="Heading7Char">
    <w:name w:val="Heading 7 Char"/>
    <w:link w:val="Heading7"/>
    <w:uiPriority w:val="9"/>
    <w:semiHidden/>
    <w:rPr>
      <w:rFonts w:ascii="Calibri" w:eastAsia="Times New Roman" w:hAnsi="Calibri" w:cs="Times New Roman"/>
      <w:bCs/>
      <w:kern w:val="32"/>
      <w:sz w:val="24"/>
      <w:szCs w:val="24"/>
      <w:lang w:eastAsia="en-US"/>
    </w:rPr>
  </w:style>
  <w:style w:type="paragraph" w:styleId="BodyTextIndent">
    <w:name w:val="Body Text Indent"/>
    <w:basedOn w:val="Normal"/>
    <w:link w:val="BodyTextIndentChar"/>
    <w:uiPriority w:val="99"/>
    <w:rsid w:val="00B06440"/>
    <w:rPr>
      <w:i/>
      <w:iCs/>
    </w:rPr>
  </w:style>
  <w:style w:type="character" w:customStyle="1" w:styleId="BodyTextIndentChar">
    <w:name w:val="Body Text Indent Char"/>
    <w:link w:val="BodyTextIndent"/>
    <w:uiPriority w:val="99"/>
    <w:semiHidden/>
    <w:rPr>
      <w:rFonts w:ascii="Trebuchet MS" w:hAnsi="Trebuchet MS" w:cs="Arial"/>
      <w:bCs/>
      <w:kern w:val="32"/>
      <w:sz w:val="24"/>
      <w:lang w:eastAsia="en-US"/>
    </w:rPr>
  </w:style>
  <w:style w:type="paragraph" w:styleId="BodyText3">
    <w:name w:val="Body Text 3"/>
    <w:basedOn w:val="Normal"/>
    <w:link w:val="BodyText3Char"/>
    <w:uiPriority w:val="99"/>
    <w:rsid w:val="00B06440"/>
    <w:pPr>
      <w:spacing w:after="120"/>
    </w:pPr>
    <w:rPr>
      <w:sz w:val="16"/>
      <w:szCs w:val="16"/>
    </w:rPr>
  </w:style>
  <w:style w:type="character" w:customStyle="1" w:styleId="BodyText3Char">
    <w:name w:val="Body Text 3 Char"/>
    <w:link w:val="BodyText3"/>
    <w:uiPriority w:val="99"/>
    <w:semiHidden/>
    <w:rPr>
      <w:rFonts w:ascii="Trebuchet MS" w:hAnsi="Trebuchet MS" w:cs="Arial"/>
      <w:bCs/>
      <w:kern w:val="32"/>
      <w:sz w:val="16"/>
      <w:szCs w:val="16"/>
      <w:lang w:eastAsia="en-US"/>
    </w:rPr>
  </w:style>
  <w:style w:type="character" w:customStyle="1" w:styleId="tablesmlfont">
    <w:name w:val="table.smlfont"/>
    <w:uiPriority w:val="99"/>
    <w:rsid w:val="00B06440"/>
    <w:rPr>
      <w:sz w:val="20"/>
    </w:rPr>
  </w:style>
  <w:style w:type="paragraph" w:customStyle="1" w:styleId="rxheadH6">
    <w:name w:val="rx.head.H6"/>
    <w:uiPriority w:val="99"/>
    <w:rsid w:val="00B06440"/>
    <w:pPr>
      <w:widowControl w:val="0"/>
      <w:autoSpaceDE w:val="0"/>
      <w:autoSpaceDN w:val="0"/>
      <w:adjustRightInd w:val="0"/>
      <w:spacing w:after="108"/>
    </w:pPr>
    <w:rPr>
      <w:rFonts w:ascii="Palatino" w:eastAsia="MS Mincho" w:hAnsi="Palatino"/>
      <w:b/>
      <w:bCs/>
      <w:i/>
      <w:iCs/>
      <w:lang w:val="en-US" w:eastAsia="en-US"/>
    </w:rPr>
  </w:style>
  <w:style w:type="paragraph" w:customStyle="1" w:styleId="Level1numbering">
    <w:name w:val="Level 1 numbering"/>
    <w:basedOn w:val="Normal"/>
    <w:uiPriority w:val="99"/>
    <w:rsid w:val="002218B1"/>
    <w:pPr>
      <w:numPr>
        <w:numId w:val="6"/>
      </w:numPr>
    </w:pPr>
    <w:rPr>
      <w:rFonts w:ascii="Arial" w:hAnsi="Arial"/>
      <w:bCs w:val="0"/>
      <w:color w:val="000000"/>
      <w:kern w:val="0"/>
      <w:sz w:val="20"/>
      <w:szCs w:val="20"/>
    </w:rPr>
  </w:style>
  <w:style w:type="paragraph" w:customStyle="1" w:styleId="Bulletlist1">
    <w:name w:val="Bullet list 1"/>
    <w:basedOn w:val="Normal"/>
    <w:uiPriority w:val="99"/>
    <w:rsid w:val="002218B1"/>
    <w:pPr>
      <w:numPr>
        <w:numId w:val="5"/>
      </w:numPr>
    </w:pPr>
    <w:rPr>
      <w:rFonts w:ascii="Arial" w:hAnsi="Arial"/>
      <w:bCs w:val="0"/>
      <w:kern w:val="0"/>
      <w:sz w:val="20"/>
      <w:szCs w:val="20"/>
    </w:rPr>
  </w:style>
  <w:style w:type="paragraph" w:customStyle="1" w:styleId="Bulletlist2">
    <w:name w:val="Bullet list 2"/>
    <w:basedOn w:val="Normal"/>
    <w:uiPriority w:val="99"/>
    <w:rsid w:val="002218B1"/>
    <w:pPr>
      <w:widowControl w:val="0"/>
      <w:numPr>
        <w:ilvl w:val="1"/>
        <w:numId w:val="5"/>
      </w:numPr>
      <w:tabs>
        <w:tab w:val="clear" w:pos="851"/>
      </w:tabs>
    </w:pPr>
    <w:rPr>
      <w:rFonts w:ascii="Arial" w:hAnsi="Arial"/>
      <w:bCs w:val="0"/>
      <w:noProof/>
      <w:kern w:val="0"/>
      <w:sz w:val="20"/>
      <w:szCs w:val="20"/>
    </w:rPr>
  </w:style>
  <w:style w:type="paragraph" w:customStyle="1" w:styleId="Level2numbering">
    <w:name w:val="Level 2 numbering"/>
    <w:basedOn w:val="Normal"/>
    <w:uiPriority w:val="99"/>
    <w:rsid w:val="002218B1"/>
    <w:pPr>
      <w:numPr>
        <w:ilvl w:val="1"/>
        <w:numId w:val="6"/>
      </w:numPr>
    </w:pPr>
    <w:rPr>
      <w:rFonts w:ascii="Arial" w:hAnsi="Arial"/>
      <w:bCs w:val="0"/>
      <w:color w:val="000000"/>
      <w:kern w:val="0"/>
      <w:sz w:val="20"/>
      <w:szCs w:val="20"/>
    </w:rPr>
  </w:style>
  <w:style w:type="paragraph" w:customStyle="1" w:styleId="Bulletlist3">
    <w:name w:val="Bullet list 3"/>
    <w:basedOn w:val="Bulletlist2"/>
    <w:uiPriority w:val="99"/>
    <w:rsid w:val="002218B1"/>
    <w:pPr>
      <w:numPr>
        <w:ilvl w:val="2"/>
      </w:numPr>
      <w:tabs>
        <w:tab w:val="clear" w:pos="2552"/>
        <w:tab w:val="left" w:pos="1701"/>
      </w:tabs>
    </w:pPr>
  </w:style>
  <w:style w:type="paragraph" w:customStyle="1" w:styleId="Centredheading1">
    <w:name w:val="Centred heading 1"/>
    <w:next w:val="Normal"/>
    <w:uiPriority w:val="99"/>
    <w:rsid w:val="002218B1"/>
    <w:pPr>
      <w:spacing w:before="360" w:after="360" w:line="312" w:lineRule="auto"/>
      <w:ind w:left="737" w:hanging="737"/>
      <w:jc w:val="center"/>
    </w:pPr>
    <w:rPr>
      <w:rFonts w:ascii="Arial" w:hAnsi="Arial" w:cs="Arial"/>
      <w:b/>
      <w:bCs/>
      <w:sz w:val="28"/>
      <w:szCs w:val="28"/>
      <w:lang w:val="en-US" w:eastAsia="en-US"/>
    </w:rPr>
  </w:style>
  <w:style w:type="paragraph" w:customStyle="1" w:styleId="Bulletlist4">
    <w:name w:val="Bullet list 4"/>
    <w:basedOn w:val="Normal"/>
    <w:uiPriority w:val="99"/>
    <w:rsid w:val="002218B1"/>
    <w:pPr>
      <w:numPr>
        <w:ilvl w:val="3"/>
        <w:numId w:val="5"/>
      </w:numPr>
      <w:tabs>
        <w:tab w:val="clear" w:pos="851"/>
        <w:tab w:val="clear" w:pos="1701"/>
      </w:tabs>
    </w:pPr>
    <w:rPr>
      <w:rFonts w:ascii="Arial" w:hAnsi="Arial"/>
      <w:bCs w:val="0"/>
      <w:kern w:val="0"/>
      <w:sz w:val="20"/>
      <w:szCs w:val="20"/>
    </w:rPr>
  </w:style>
  <w:style w:type="paragraph" w:customStyle="1" w:styleId="Bulletlist5">
    <w:name w:val="Bullet list 5"/>
    <w:basedOn w:val="Bulletlist1"/>
    <w:uiPriority w:val="99"/>
    <w:rsid w:val="002218B1"/>
    <w:pPr>
      <w:numPr>
        <w:ilvl w:val="4"/>
      </w:numPr>
      <w:tabs>
        <w:tab w:val="left" w:pos="3402"/>
      </w:tabs>
    </w:pPr>
    <w:rPr>
      <w:lang w:val="en-US"/>
    </w:rPr>
  </w:style>
  <w:style w:type="paragraph" w:customStyle="1" w:styleId="Level3numbering">
    <w:name w:val="Level 3 numbering"/>
    <w:basedOn w:val="Normal"/>
    <w:uiPriority w:val="99"/>
    <w:rsid w:val="002218B1"/>
    <w:pPr>
      <w:numPr>
        <w:ilvl w:val="2"/>
        <w:numId w:val="6"/>
      </w:numPr>
      <w:tabs>
        <w:tab w:val="clear" w:pos="851"/>
        <w:tab w:val="left" w:pos="3402"/>
      </w:tabs>
      <w:ind w:left="2552" w:hanging="851"/>
    </w:pPr>
    <w:rPr>
      <w:rFonts w:ascii="Arial" w:hAnsi="Arial"/>
      <w:bCs w:val="0"/>
      <w:kern w:val="0"/>
      <w:sz w:val="20"/>
      <w:szCs w:val="20"/>
    </w:rPr>
  </w:style>
  <w:style w:type="paragraph" w:styleId="NormalWeb">
    <w:name w:val="Normal (Web)"/>
    <w:basedOn w:val="Normal"/>
    <w:uiPriority w:val="99"/>
    <w:rsid w:val="002218B1"/>
    <w:pPr>
      <w:tabs>
        <w:tab w:val="clear" w:pos="851"/>
        <w:tab w:val="clear" w:pos="1701"/>
        <w:tab w:val="clear" w:pos="2552"/>
      </w:tabs>
      <w:spacing w:before="100" w:beforeAutospacing="1" w:after="100" w:afterAutospacing="1" w:line="240" w:lineRule="auto"/>
    </w:pPr>
    <w:rPr>
      <w:rFonts w:ascii="Times New Roman" w:hAnsi="Times New Roman" w:cs="Times New Roman"/>
      <w:bCs w:val="0"/>
      <w:kern w:val="0"/>
      <w:szCs w:val="24"/>
      <w:lang w:val="en-US"/>
    </w:rPr>
  </w:style>
  <w:style w:type="paragraph" w:customStyle="1" w:styleId="ListBull">
    <w:name w:val="ListBull"/>
    <w:basedOn w:val="Normal"/>
    <w:uiPriority w:val="99"/>
    <w:rsid w:val="002218B1"/>
    <w:pPr>
      <w:widowControl w:val="0"/>
      <w:tabs>
        <w:tab w:val="clear" w:pos="851"/>
        <w:tab w:val="clear" w:pos="1701"/>
        <w:tab w:val="clear" w:pos="2552"/>
        <w:tab w:val="num" w:pos="720"/>
      </w:tabs>
      <w:adjustRightInd w:val="0"/>
      <w:spacing w:before="0" w:after="0" w:line="240" w:lineRule="auto"/>
      <w:ind w:left="720" w:hanging="360"/>
      <w:jc w:val="both"/>
      <w:textAlignment w:val="baseline"/>
    </w:pPr>
    <w:rPr>
      <w:rFonts w:ascii="Palatino" w:hAnsi="Palatino" w:cs="Times New Roman"/>
      <w:bCs w:val="0"/>
      <w:kern w:val="0"/>
      <w:sz w:val="20"/>
      <w:szCs w:val="20"/>
    </w:rPr>
  </w:style>
  <w:style w:type="paragraph" w:customStyle="1" w:styleId="rxpFULL">
    <w:name w:val="rx.p.FULL"/>
    <w:uiPriority w:val="99"/>
    <w:rsid w:val="002218B1"/>
    <w:pPr>
      <w:widowControl w:val="0"/>
      <w:tabs>
        <w:tab w:val="left" w:pos="5760"/>
        <w:tab w:val="left" w:pos="9360"/>
      </w:tabs>
      <w:autoSpaceDE w:val="0"/>
      <w:autoSpaceDN w:val="0"/>
      <w:adjustRightInd w:val="0"/>
      <w:spacing w:after="72" w:line="360" w:lineRule="atLeast"/>
      <w:jc w:val="both"/>
      <w:textAlignment w:val="baseline"/>
    </w:pPr>
    <w:rPr>
      <w:rFonts w:ascii="Palatino" w:hAnsi="Palatino"/>
      <w:lang w:val="en-US" w:eastAsia="en-US"/>
    </w:rPr>
  </w:style>
  <w:style w:type="paragraph" w:customStyle="1" w:styleId="rxpCENTER">
    <w:name w:val="rx.p.CENTER"/>
    <w:uiPriority w:val="99"/>
    <w:rsid w:val="002218B1"/>
    <w:pPr>
      <w:widowControl w:val="0"/>
      <w:autoSpaceDE w:val="0"/>
      <w:autoSpaceDN w:val="0"/>
      <w:adjustRightInd w:val="0"/>
      <w:spacing w:after="72" w:line="360" w:lineRule="atLeast"/>
      <w:jc w:val="center"/>
      <w:textAlignment w:val="baseline"/>
    </w:pPr>
    <w:rPr>
      <w:rFonts w:ascii="Palatino" w:hAnsi="Palatino"/>
      <w:lang w:val="en-US" w:eastAsia="en-US"/>
    </w:rPr>
  </w:style>
  <w:style w:type="table" w:styleId="TableGrid">
    <w:name w:val="Table Grid"/>
    <w:basedOn w:val="TableNormal"/>
    <w:uiPriority w:val="99"/>
    <w:rsid w:val="00AB221C"/>
    <w:pPr>
      <w:tabs>
        <w:tab w:val="left" w:pos="851"/>
        <w:tab w:val="left" w:pos="1701"/>
        <w:tab w:val="left" w:pos="2552"/>
      </w:tabs>
      <w:spacing w:before="60" w:after="60" w:line="312"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EA60D9"/>
    <w:pPr>
      <w:widowControl w:val="0"/>
      <w:autoSpaceDE w:val="0"/>
      <w:autoSpaceDN w:val="0"/>
      <w:adjustRightInd w:val="0"/>
    </w:pPr>
    <w:rPr>
      <w:rFonts w:ascii="Helvetica 55 Roman" w:hAnsi="Helvetica 55 Roman" w:cs="Helvetica 55 Roman"/>
      <w:color w:val="000000"/>
      <w:sz w:val="24"/>
      <w:szCs w:val="24"/>
      <w:lang w:val="en-US" w:eastAsia="en-US"/>
    </w:rPr>
  </w:style>
  <w:style w:type="paragraph" w:customStyle="1" w:styleId="CM2">
    <w:name w:val="CM2"/>
    <w:basedOn w:val="Default"/>
    <w:next w:val="Default"/>
    <w:uiPriority w:val="99"/>
    <w:rsid w:val="00EA60D9"/>
    <w:pPr>
      <w:spacing w:line="236" w:lineRule="atLeast"/>
    </w:pPr>
    <w:rPr>
      <w:color w:val="auto"/>
    </w:rPr>
  </w:style>
  <w:style w:type="paragraph" w:customStyle="1" w:styleId="CM10">
    <w:name w:val="CM10"/>
    <w:basedOn w:val="Default"/>
    <w:next w:val="Default"/>
    <w:uiPriority w:val="99"/>
    <w:rsid w:val="00EA60D9"/>
    <w:pPr>
      <w:spacing w:after="95"/>
    </w:pPr>
    <w:rPr>
      <w:color w:val="auto"/>
    </w:rPr>
  </w:style>
  <w:style w:type="paragraph" w:customStyle="1" w:styleId="CM11">
    <w:name w:val="CM11"/>
    <w:basedOn w:val="Default"/>
    <w:next w:val="Default"/>
    <w:uiPriority w:val="99"/>
    <w:rsid w:val="00EA60D9"/>
    <w:pPr>
      <w:spacing w:after="280"/>
    </w:pPr>
    <w:rPr>
      <w:color w:val="auto"/>
    </w:rPr>
  </w:style>
  <w:style w:type="paragraph" w:customStyle="1" w:styleId="CM12">
    <w:name w:val="CM12"/>
    <w:basedOn w:val="Default"/>
    <w:next w:val="Default"/>
    <w:uiPriority w:val="99"/>
    <w:rsid w:val="00EA60D9"/>
    <w:pPr>
      <w:spacing w:after="375"/>
    </w:pPr>
    <w:rPr>
      <w:color w:val="auto"/>
    </w:rPr>
  </w:style>
  <w:style w:type="paragraph" w:customStyle="1" w:styleId="CM13">
    <w:name w:val="CM13"/>
    <w:basedOn w:val="Default"/>
    <w:next w:val="Default"/>
    <w:uiPriority w:val="99"/>
    <w:rsid w:val="00EA60D9"/>
    <w:pPr>
      <w:spacing w:after="508"/>
    </w:pPr>
    <w:rPr>
      <w:color w:val="auto"/>
    </w:rPr>
  </w:style>
  <w:style w:type="paragraph" w:styleId="Header">
    <w:name w:val="header"/>
    <w:basedOn w:val="Normal"/>
    <w:link w:val="Head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HeaderChar">
    <w:name w:val="Header Char"/>
    <w:link w:val="Header"/>
    <w:uiPriority w:val="99"/>
    <w:rsid w:val="000D28B5"/>
    <w:rPr>
      <w:rFonts w:ascii="Trebuchet MS" w:hAnsi="Trebuchet MS" w:cs="Arial"/>
      <w:bCs/>
      <w:kern w:val="32"/>
      <w:sz w:val="24"/>
      <w:lang w:eastAsia="en-US"/>
    </w:rPr>
  </w:style>
  <w:style w:type="paragraph" w:styleId="Footer">
    <w:name w:val="footer"/>
    <w:basedOn w:val="Normal"/>
    <w:link w:val="FooterChar"/>
    <w:uiPriority w:val="99"/>
    <w:unhideWhenUsed/>
    <w:rsid w:val="000D28B5"/>
    <w:pPr>
      <w:tabs>
        <w:tab w:val="clear" w:pos="851"/>
        <w:tab w:val="clear" w:pos="1701"/>
        <w:tab w:val="clear" w:pos="2552"/>
        <w:tab w:val="center" w:pos="4513"/>
        <w:tab w:val="right" w:pos="9026"/>
      </w:tabs>
      <w:spacing w:before="0" w:after="0" w:line="240" w:lineRule="auto"/>
    </w:pPr>
  </w:style>
  <w:style w:type="character" w:customStyle="1" w:styleId="FooterChar">
    <w:name w:val="Footer Char"/>
    <w:link w:val="Footer"/>
    <w:uiPriority w:val="99"/>
    <w:rsid w:val="000D28B5"/>
    <w:rPr>
      <w:rFonts w:ascii="Trebuchet MS" w:hAnsi="Trebuchet MS" w:cs="Arial"/>
      <w:bCs/>
      <w:kern w:val="32"/>
      <w:sz w:val="24"/>
      <w:lang w:eastAsia="en-US"/>
    </w:rPr>
  </w:style>
  <w:style w:type="paragraph" w:styleId="BalloonText">
    <w:name w:val="Balloon Text"/>
    <w:basedOn w:val="Normal"/>
    <w:link w:val="BalloonTextChar"/>
    <w:uiPriority w:val="99"/>
    <w:semiHidden/>
    <w:unhideWhenUsed/>
    <w:rsid w:val="00D903D6"/>
    <w:pPr>
      <w:spacing w:before="0" w:after="0" w:line="240" w:lineRule="auto"/>
    </w:pPr>
    <w:rPr>
      <w:rFonts w:ascii="Tahoma" w:hAnsi="Tahoma" w:cs="Tahoma"/>
      <w:sz w:val="16"/>
      <w:szCs w:val="16"/>
    </w:rPr>
  </w:style>
  <w:style w:type="character" w:customStyle="1" w:styleId="BalloonTextChar">
    <w:name w:val="Balloon Text Char"/>
    <w:link w:val="BalloonText"/>
    <w:uiPriority w:val="99"/>
    <w:semiHidden/>
    <w:rsid w:val="00D903D6"/>
    <w:rPr>
      <w:rFonts w:ascii="Tahoma" w:hAnsi="Tahoma" w:cs="Tahoma"/>
      <w:bCs/>
      <w:kern w:val="32"/>
      <w:sz w:val="16"/>
      <w:szCs w:val="16"/>
      <w:lang w:eastAsia="en-US"/>
    </w:rPr>
  </w:style>
  <w:style w:type="paragraph" w:styleId="ListParagraph">
    <w:name w:val="List Paragraph"/>
    <w:basedOn w:val="Normal"/>
    <w:uiPriority w:val="34"/>
    <w:qFormat/>
    <w:rsid w:val="00D903D6"/>
    <w:pPr>
      <w:ind w:left="720"/>
      <w:contextualSpacing/>
    </w:pPr>
  </w:style>
  <w:style w:type="character" w:styleId="Hyperlink">
    <w:name w:val="Hyperlink"/>
    <w:uiPriority w:val="99"/>
    <w:semiHidden/>
    <w:unhideWhenUsed/>
    <w:rsid w:val="00D809D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60289">
      <w:bodyDiv w:val="1"/>
      <w:marLeft w:val="0"/>
      <w:marRight w:val="0"/>
      <w:marTop w:val="0"/>
      <w:marBottom w:val="0"/>
      <w:divBdr>
        <w:top w:val="none" w:sz="0" w:space="0" w:color="auto"/>
        <w:left w:val="none" w:sz="0" w:space="0" w:color="auto"/>
        <w:bottom w:val="none" w:sz="0" w:space="0" w:color="auto"/>
        <w:right w:val="none" w:sz="0" w:space="0" w:color="auto"/>
      </w:divBdr>
    </w:div>
    <w:div w:id="49503252">
      <w:bodyDiv w:val="1"/>
      <w:marLeft w:val="0"/>
      <w:marRight w:val="0"/>
      <w:marTop w:val="0"/>
      <w:marBottom w:val="0"/>
      <w:divBdr>
        <w:top w:val="none" w:sz="0" w:space="0" w:color="auto"/>
        <w:left w:val="none" w:sz="0" w:space="0" w:color="auto"/>
        <w:bottom w:val="none" w:sz="0" w:space="0" w:color="auto"/>
        <w:right w:val="none" w:sz="0" w:space="0" w:color="auto"/>
      </w:divBdr>
    </w:div>
    <w:div w:id="51971447">
      <w:bodyDiv w:val="1"/>
      <w:marLeft w:val="0"/>
      <w:marRight w:val="0"/>
      <w:marTop w:val="0"/>
      <w:marBottom w:val="0"/>
      <w:divBdr>
        <w:top w:val="none" w:sz="0" w:space="0" w:color="auto"/>
        <w:left w:val="none" w:sz="0" w:space="0" w:color="auto"/>
        <w:bottom w:val="none" w:sz="0" w:space="0" w:color="auto"/>
        <w:right w:val="none" w:sz="0" w:space="0" w:color="auto"/>
      </w:divBdr>
    </w:div>
    <w:div w:id="905988747">
      <w:bodyDiv w:val="1"/>
      <w:marLeft w:val="0"/>
      <w:marRight w:val="0"/>
      <w:marTop w:val="0"/>
      <w:marBottom w:val="0"/>
      <w:divBdr>
        <w:top w:val="none" w:sz="0" w:space="0" w:color="auto"/>
        <w:left w:val="none" w:sz="0" w:space="0" w:color="auto"/>
        <w:bottom w:val="none" w:sz="0" w:space="0" w:color="auto"/>
        <w:right w:val="none" w:sz="0" w:space="0" w:color="auto"/>
      </w:divBdr>
    </w:div>
    <w:div w:id="1245184642">
      <w:bodyDiv w:val="1"/>
      <w:marLeft w:val="0"/>
      <w:marRight w:val="0"/>
      <w:marTop w:val="0"/>
      <w:marBottom w:val="0"/>
      <w:divBdr>
        <w:top w:val="none" w:sz="0" w:space="0" w:color="auto"/>
        <w:left w:val="none" w:sz="0" w:space="0" w:color="auto"/>
        <w:bottom w:val="none" w:sz="0" w:space="0" w:color="auto"/>
        <w:right w:val="none" w:sz="0" w:space="0" w:color="auto"/>
      </w:divBdr>
    </w:div>
    <w:div w:id="1481263074">
      <w:bodyDiv w:val="1"/>
      <w:marLeft w:val="0"/>
      <w:marRight w:val="0"/>
      <w:marTop w:val="0"/>
      <w:marBottom w:val="0"/>
      <w:divBdr>
        <w:top w:val="none" w:sz="0" w:space="0" w:color="auto"/>
        <w:left w:val="none" w:sz="0" w:space="0" w:color="auto"/>
        <w:bottom w:val="none" w:sz="0" w:space="0" w:color="auto"/>
        <w:right w:val="none" w:sz="0" w:space="0" w:color="auto"/>
      </w:divBdr>
    </w:div>
    <w:div w:id="1673220969">
      <w:bodyDiv w:val="1"/>
      <w:marLeft w:val="0"/>
      <w:marRight w:val="0"/>
      <w:marTop w:val="0"/>
      <w:marBottom w:val="0"/>
      <w:divBdr>
        <w:top w:val="none" w:sz="0" w:space="0" w:color="auto"/>
        <w:left w:val="none" w:sz="0" w:space="0" w:color="auto"/>
        <w:bottom w:val="none" w:sz="0" w:space="0" w:color="auto"/>
        <w:right w:val="none" w:sz="0" w:space="0" w:color="auto"/>
      </w:divBdr>
    </w:div>
    <w:div w:id="1757288360">
      <w:bodyDiv w:val="1"/>
      <w:marLeft w:val="0"/>
      <w:marRight w:val="0"/>
      <w:marTop w:val="0"/>
      <w:marBottom w:val="0"/>
      <w:divBdr>
        <w:top w:val="none" w:sz="0" w:space="0" w:color="auto"/>
        <w:left w:val="none" w:sz="0" w:space="0" w:color="auto"/>
        <w:bottom w:val="none" w:sz="0" w:space="0" w:color="auto"/>
        <w:right w:val="none" w:sz="0" w:space="0" w:color="auto"/>
      </w:divBdr>
    </w:div>
    <w:div w:id="1845050227">
      <w:bodyDiv w:val="1"/>
      <w:marLeft w:val="0"/>
      <w:marRight w:val="0"/>
      <w:marTop w:val="0"/>
      <w:marBottom w:val="0"/>
      <w:divBdr>
        <w:top w:val="none" w:sz="0" w:space="0" w:color="auto"/>
        <w:left w:val="none" w:sz="0" w:space="0" w:color="auto"/>
        <w:bottom w:val="none" w:sz="0" w:space="0" w:color="auto"/>
        <w:right w:val="none" w:sz="0" w:space="0" w:color="auto"/>
      </w:divBdr>
    </w:div>
    <w:div w:id="1889217917">
      <w:marLeft w:val="0"/>
      <w:marRight w:val="0"/>
      <w:marTop w:val="0"/>
      <w:marBottom w:val="0"/>
      <w:divBdr>
        <w:top w:val="none" w:sz="0" w:space="0" w:color="auto"/>
        <w:left w:val="none" w:sz="0" w:space="0" w:color="auto"/>
        <w:bottom w:val="none" w:sz="0" w:space="0" w:color="auto"/>
        <w:right w:val="none" w:sz="0" w:space="0" w:color="auto"/>
      </w:divBdr>
    </w:div>
    <w:div w:id="18892179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perguide.com.au/how-super-works/magic-compounding-interest-superannuation" TargetMode="External"/><Relationship Id="rId13" Type="http://schemas.openxmlformats.org/officeDocument/2006/relationships/image" Target="media/image1.png"/><Relationship Id="rId18" Type="http://schemas.openxmlformats.org/officeDocument/2006/relationships/image" Target="cid:image003.gif@01D590C1.FF891740"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4.jpeg"/><Relationship Id="rId7" Type="http://schemas.openxmlformats.org/officeDocument/2006/relationships/hyperlink" Target="https://www.superguide.com.au/smsfs/super-fund-types" TargetMode="External"/><Relationship Id="rId12" Type="http://schemas.openxmlformats.org/officeDocument/2006/relationships/hyperlink" Target="https://www.superguide.com.au/smsfs/feeding-frenzy-super-fund-fees" TargetMode="External"/><Relationship Id="rId17" Type="http://schemas.openxmlformats.org/officeDocument/2006/relationships/image" Target="media/image3.png"/><Relationship Id="rId25" Type="http://schemas.openxmlformats.org/officeDocument/2006/relationships/footer" Target="footer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cid:image002.gif@01D590C1.FF891740" TargetMode="External"/><Relationship Id="rId20" Type="http://schemas.openxmlformats.org/officeDocument/2006/relationships/hyperlink" Target="http://www.ords.com.au/"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uperguide.com.au/how-super-works/feeding-frenzy-super-fund-fees" TargetMode="External"/><Relationship Id="rId24" Type="http://schemas.openxmlformats.org/officeDocument/2006/relationships/header" Target="header1.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www.ords.com.au/" TargetMode="External"/><Relationship Id="rId28" Type="http://schemas.openxmlformats.org/officeDocument/2006/relationships/header" Target="header3.xml"/><Relationship Id="rId10" Type="http://schemas.openxmlformats.org/officeDocument/2006/relationships/hyperlink" Target="https://www.superguide.com.au/smsfs/feeding-frenzy-super-fund-fees" TargetMode="External"/><Relationship Id="rId19" Type="http://schemas.openxmlformats.org/officeDocument/2006/relationships/hyperlink" Target="mailto:bfenton@ords.com.au"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superguide.com.au/boost-your-superannuation/super-fees-and-returns-calculator" TargetMode="External"/><Relationship Id="rId14" Type="http://schemas.openxmlformats.org/officeDocument/2006/relationships/image" Target="cid:image001.gif@01D590C1.FF891740" TargetMode="External"/><Relationship Id="rId22" Type="http://schemas.openxmlformats.org/officeDocument/2006/relationships/image" Target="cid:image004.jpg@01D590C1.FF891740" TargetMode="External"/><Relationship Id="rId27" Type="http://schemas.openxmlformats.org/officeDocument/2006/relationships/footer" Target="footer2.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2075</Words>
  <Characters>12322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Investment Strategy Template</vt:lpstr>
    </vt:vector>
  </TitlesOfParts>
  <LinksUpToDate>false</LinksUpToDate>
  <CharactersWithSpaces>14369</CharactersWithSpaces>
  <SharedDoc>false</SharedDoc>
  <HLinks>
    <vt:vector size="90" baseType="variant">
      <vt:variant>
        <vt:i4>3801150</vt:i4>
      </vt:variant>
      <vt:variant>
        <vt:i4>48</vt:i4>
      </vt:variant>
      <vt:variant>
        <vt:i4>0</vt:i4>
      </vt:variant>
      <vt:variant>
        <vt:i4>5</vt:i4>
      </vt:variant>
      <vt:variant>
        <vt:lpwstr>http://www.ords.com.au/</vt:lpwstr>
      </vt:variant>
      <vt:variant>
        <vt:lpwstr/>
      </vt:variant>
      <vt:variant>
        <vt:i4>3801150</vt:i4>
      </vt:variant>
      <vt:variant>
        <vt:i4>42</vt:i4>
      </vt:variant>
      <vt:variant>
        <vt:i4>0</vt:i4>
      </vt:variant>
      <vt:variant>
        <vt:i4>5</vt:i4>
      </vt:variant>
      <vt:variant>
        <vt:lpwstr>http://www.ords.com.au/</vt:lpwstr>
      </vt:variant>
      <vt:variant>
        <vt:lpwstr/>
      </vt:variant>
      <vt:variant>
        <vt:i4>7208963</vt:i4>
      </vt:variant>
      <vt:variant>
        <vt:i4>39</vt:i4>
      </vt:variant>
      <vt:variant>
        <vt:i4>0</vt:i4>
      </vt:variant>
      <vt:variant>
        <vt:i4>5</vt:i4>
      </vt:variant>
      <vt:variant>
        <vt:lpwstr>mailto:bfenton@ords.com.au</vt:lpwstr>
      </vt:variant>
      <vt:variant>
        <vt:lpwstr/>
      </vt:variant>
      <vt:variant>
        <vt:i4>3276863</vt:i4>
      </vt:variant>
      <vt:variant>
        <vt:i4>21</vt:i4>
      </vt:variant>
      <vt:variant>
        <vt:i4>0</vt:i4>
      </vt:variant>
      <vt:variant>
        <vt:i4>5</vt:i4>
      </vt:variant>
      <vt:variant>
        <vt:lpwstr>https://www.superguide.com.au/smsfs/feeding-frenzy-super-fund-fees</vt:lpwstr>
      </vt:variant>
      <vt:variant>
        <vt:lpwstr/>
      </vt:variant>
      <vt:variant>
        <vt:i4>4325460</vt:i4>
      </vt:variant>
      <vt:variant>
        <vt:i4>18</vt:i4>
      </vt:variant>
      <vt:variant>
        <vt:i4>0</vt:i4>
      </vt:variant>
      <vt:variant>
        <vt:i4>5</vt:i4>
      </vt:variant>
      <vt:variant>
        <vt:lpwstr>https://www.superguide.com.au/how-super-works/feeding-frenzy-super-fund-fees</vt:lpwstr>
      </vt:variant>
      <vt:variant>
        <vt:lpwstr/>
      </vt:variant>
      <vt:variant>
        <vt:i4>3276863</vt:i4>
      </vt:variant>
      <vt:variant>
        <vt:i4>15</vt:i4>
      </vt:variant>
      <vt:variant>
        <vt:i4>0</vt:i4>
      </vt:variant>
      <vt:variant>
        <vt:i4>5</vt:i4>
      </vt:variant>
      <vt:variant>
        <vt:lpwstr>https://www.superguide.com.au/smsfs/feeding-frenzy-super-fund-fees</vt:lpwstr>
      </vt:variant>
      <vt:variant>
        <vt:lpwstr/>
      </vt:variant>
      <vt:variant>
        <vt:i4>6029390</vt:i4>
      </vt:variant>
      <vt:variant>
        <vt:i4>12</vt:i4>
      </vt:variant>
      <vt:variant>
        <vt:i4>0</vt:i4>
      </vt:variant>
      <vt:variant>
        <vt:i4>5</vt:i4>
      </vt:variant>
      <vt:variant>
        <vt:lpwstr>https://www.superguide.com.au/boost-your-superannuation/super-fees-and-returns-calculator</vt:lpwstr>
      </vt:variant>
      <vt:variant>
        <vt:lpwstr/>
      </vt:variant>
      <vt:variant>
        <vt:i4>2359404</vt:i4>
      </vt:variant>
      <vt:variant>
        <vt:i4>9</vt:i4>
      </vt:variant>
      <vt:variant>
        <vt:i4>0</vt:i4>
      </vt:variant>
      <vt:variant>
        <vt:i4>5</vt:i4>
      </vt:variant>
      <vt:variant>
        <vt:lpwstr>https://www.superguide.com.au/how-super-works/magic-compounding-interest-superannuation</vt:lpwstr>
      </vt:variant>
      <vt:variant>
        <vt:lpwstr/>
      </vt:variant>
      <vt:variant>
        <vt:i4>786433</vt:i4>
      </vt:variant>
      <vt:variant>
        <vt:i4>6</vt:i4>
      </vt:variant>
      <vt:variant>
        <vt:i4>0</vt:i4>
      </vt:variant>
      <vt:variant>
        <vt:i4>5</vt:i4>
      </vt:variant>
      <vt:variant>
        <vt:lpwstr>https://www.superguide.com.au/smsfs/super-fund-types</vt:lpwstr>
      </vt:variant>
      <vt:variant>
        <vt:lpwstr/>
      </vt:variant>
      <vt:variant>
        <vt:i4>2162691</vt:i4>
      </vt:variant>
      <vt:variant>
        <vt:i4>15722</vt:i4>
      </vt:variant>
      <vt:variant>
        <vt:i4>1025</vt:i4>
      </vt:variant>
      <vt:variant>
        <vt:i4>1</vt:i4>
      </vt:variant>
      <vt:variant>
        <vt:lpwstr>cid:image001.gif@01D590C1.FF891740</vt:lpwstr>
      </vt:variant>
      <vt:variant>
        <vt:lpwstr/>
      </vt:variant>
      <vt:variant>
        <vt:i4>2162691</vt:i4>
      </vt:variant>
      <vt:variant>
        <vt:i4>15814</vt:i4>
      </vt:variant>
      <vt:variant>
        <vt:i4>1026</vt:i4>
      </vt:variant>
      <vt:variant>
        <vt:i4>1</vt:i4>
      </vt:variant>
      <vt:variant>
        <vt:lpwstr>cid:image001.gif@01D590C1.FF891740</vt:lpwstr>
      </vt:variant>
      <vt:variant>
        <vt:lpwstr/>
      </vt:variant>
      <vt:variant>
        <vt:i4>2162691</vt:i4>
      </vt:variant>
      <vt:variant>
        <vt:i4>15908</vt:i4>
      </vt:variant>
      <vt:variant>
        <vt:i4>1027</vt:i4>
      </vt:variant>
      <vt:variant>
        <vt:i4>1</vt:i4>
      </vt:variant>
      <vt:variant>
        <vt:lpwstr>cid:image001.gif@01D590C1.FF891740</vt:lpwstr>
      </vt:variant>
      <vt:variant>
        <vt:lpwstr/>
      </vt:variant>
      <vt:variant>
        <vt:i4>2228227</vt:i4>
      </vt:variant>
      <vt:variant>
        <vt:i4>16000</vt:i4>
      </vt:variant>
      <vt:variant>
        <vt:i4>1028</vt:i4>
      </vt:variant>
      <vt:variant>
        <vt:i4>1</vt:i4>
      </vt:variant>
      <vt:variant>
        <vt:lpwstr>cid:image002.gif@01D590C1.FF891740</vt:lpwstr>
      </vt:variant>
      <vt:variant>
        <vt:lpwstr/>
      </vt:variant>
      <vt:variant>
        <vt:i4>2293763</vt:i4>
      </vt:variant>
      <vt:variant>
        <vt:i4>16094</vt:i4>
      </vt:variant>
      <vt:variant>
        <vt:i4>1029</vt:i4>
      </vt:variant>
      <vt:variant>
        <vt:i4>1</vt:i4>
      </vt:variant>
      <vt:variant>
        <vt:lpwstr>cid:image003.gif@01D590C1.FF891740</vt:lpwstr>
      </vt:variant>
      <vt:variant>
        <vt:lpwstr/>
      </vt:variant>
      <vt:variant>
        <vt:i4>2621466</vt:i4>
      </vt:variant>
      <vt:variant>
        <vt:i4>16277</vt:i4>
      </vt:variant>
      <vt:variant>
        <vt:i4>1030</vt:i4>
      </vt:variant>
      <vt:variant>
        <vt:i4>1</vt:i4>
      </vt:variant>
      <vt:variant>
        <vt:lpwstr>cid:image004.jpg@01D590C1.FF891740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Strategy Template</dc:title>
  <dc:subject/>
  <dc:creator/>
  <cp:keywords/>
  <cp:lastModifiedBy/>
  <cp:revision>1</cp:revision>
  <dcterms:created xsi:type="dcterms:W3CDTF">2020-10-19T05:27:00Z</dcterms:created>
  <dcterms:modified xsi:type="dcterms:W3CDTF">2020-10-21T23:57:00Z</dcterms:modified>
</cp:coreProperties>
</file>