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J Kettle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Investment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