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Roslyn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Gojkovic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Bozidar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Gojkovic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Roslyn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Gojkovic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Bozidar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Gojkovic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 METCALFE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04/09/2019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 METCALFE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04/09/2019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