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01/07/2020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Avraham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Mansur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Mary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Ostrognay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7" type="#_x0000_t202" style="width:446.5pt;height:22pt;margin-top:0.65pt;margin-left:-0.05pt;mso-height-relative:margin;mso-position-horizontal-relative:margin;mso-width-relative:margin;position:absolute;visibility:visible;z-index:251660288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Amir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Mansur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8" type="#_x0000_t202" style="width:446.5pt;height:22pt;margin-top:0.65pt;margin-left:-0.05pt;mso-height-relative:margin;mso-position-horizontal-relative:margin;mso-width-relative:margin;position:absolute;visibility:visible;z-index:251661312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Daniel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Ostrognay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Mansur Ostrognay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Superannuation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