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E111" w14:textId="77777777" w:rsidR="00867DBB" w:rsidRDefault="00000000" w:rsidP="00867DBB">
      <w:pPr>
        <w:widowControl w:val="0"/>
        <w:tabs>
          <w:tab w:val="center" w:pos="4859"/>
        </w:tabs>
        <w:spacing w:line="283" w:lineRule="exact"/>
        <w:jc w:val="center"/>
        <w:rPr>
          <w:b/>
          <w:bCs/>
          <w:color w:val="000000"/>
          <w:sz w:val="24"/>
          <w:szCs w:val="24"/>
          <w:lang w:val="en-AU"/>
        </w:rPr>
      </w:pPr>
      <w:r>
        <w:rPr>
          <w:b/>
          <w:bCs/>
          <w:color w:val="000000"/>
          <w:sz w:val="24"/>
          <w:szCs w:val="24"/>
          <w:lang w:val="en-AU"/>
        </w:rPr>
        <w:pict w14:anchorId="25B48E3C">
          <v:rect id="_x0000_i1025" style="width:493.4pt;height:1.5pt" o:hralign="center" o:hrstd="t" o:hrnoshade="t" o:hr="t" fillcolor="black" stroked="f"/>
        </w:pict>
      </w:r>
    </w:p>
    <w:p w14:paraId="546938F8" w14:textId="77777777" w:rsidR="00E33317" w:rsidRDefault="00000000" w:rsidP="00091DB4">
      <w:pPr>
        <w:widowControl w:val="0"/>
        <w:tabs>
          <w:tab w:val="center" w:pos="4859"/>
        </w:tabs>
        <w:spacing w:line="283" w:lineRule="exact"/>
        <w:rPr>
          <w:lang w:val="en-AU"/>
        </w:rPr>
      </w:pPr>
      <w:r>
        <w:rPr>
          <w:lang w:val="en-AU"/>
        </w:rPr>
        <w:tab/>
      </w: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2"/>
        <w:gridCol w:w="6662"/>
        <w:gridCol w:w="284"/>
      </w:tblGrid>
      <w:tr w:rsidR="003066EE" w14:paraId="2FD70015" w14:textId="77777777" w:rsidTr="00AF3D5F">
        <w:trPr>
          <w:gridAfter w:val="1"/>
          <w:wAfter w:w="284" w:type="dxa"/>
        </w:trPr>
        <w:tc>
          <w:tcPr>
            <w:tcW w:w="3119" w:type="dxa"/>
            <w:gridSpan w:val="2"/>
          </w:tcPr>
          <w:p w14:paraId="63BB5C3B" w14:textId="77777777" w:rsidR="00B01190" w:rsidRPr="00A87DD7" w:rsidRDefault="00000000" w:rsidP="00732F8A">
            <w:pPr>
              <w:widowControl w:val="0"/>
              <w:spacing w:line="240" w:lineRule="exact"/>
              <w:rPr>
                <w:b/>
                <w:lang w:val="en-AU"/>
              </w:rPr>
            </w:pPr>
            <w:r w:rsidRPr="00A87DD7">
              <w:rPr>
                <w:b/>
                <w:bCs/>
                <w:color w:val="000000"/>
                <w:u w:val="single"/>
                <w:lang w:val="en-AU"/>
              </w:rPr>
              <w:t>PRESENT:</w:t>
            </w:r>
          </w:p>
        </w:tc>
        <w:tc>
          <w:tcPr>
            <w:tcW w:w="6662" w:type="dxa"/>
          </w:tcPr>
          <w:p w14:paraId="25CE30FB" w14:textId="1A61031E" w:rsidR="008715BE" w:rsidRDefault="00FD5467" w:rsidP="001928A2">
            <w:pPr>
              <w:pStyle w:val="Style15"/>
              <w:tabs>
                <w:tab w:val="clear" w:pos="4845"/>
                <w:tab w:val="left" w:pos="284"/>
                <w:tab w:val="center" w:pos="3261"/>
              </w:tabs>
              <w:spacing w:line="283" w:lineRule="exact"/>
              <w:ind w:left="-108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David Francis</w:t>
            </w:r>
          </w:p>
          <w:p w14:paraId="5A72714A" w14:textId="449320C9" w:rsidR="008715BE" w:rsidRDefault="00FD5467" w:rsidP="001928A2">
            <w:pPr>
              <w:pStyle w:val="Style15"/>
              <w:tabs>
                <w:tab w:val="clear" w:pos="4845"/>
                <w:tab w:val="left" w:pos="284"/>
                <w:tab w:val="center" w:pos="3261"/>
              </w:tabs>
              <w:spacing w:line="283" w:lineRule="exact"/>
              <w:ind w:left="-108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Vera Francis</w:t>
            </w:r>
          </w:p>
          <w:p w14:paraId="7239D616" w14:textId="77777777" w:rsidR="00AF3D5F" w:rsidRDefault="00AF3D5F" w:rsidP="001928A2">
            <w:pPr>
              <w:pStyle w:val="Style15"/>
              <w:tabs>
                <w:tab w:val="clear" w:pos="4845"/>
                <w:tab w:val="left" w:pos="284"/>
                <w:tab w:val="center" w:pos="3261"/>
              </w:tabs>
              <w:spacing w:line="283" w:lineRule="exact"/>
              <w:ind w:left="-108"/>
              <w:rPr>
                <w:color w:val="000000"/>
                <w:lang w:val="en-AU"/>
              </w:rPr>
            </w:pPr>
          </w:p>
        </w:tc>
      </w:tr>
      <w:tr w:rsidR="003066EE" w14:paraId="06E92AEA" w14:textId="77777777" w:rsidTr="00AF3D5F">
        <w:trPr>
          <w:gridAfter w:val="1"/>
          <w:wAfter w:w="284" w:type="dxa"/>
        </w:trPr>
        <w:tc>
          <w:tcPr>
            <w:tcW w:w="9781" w:type="dxa"/>
            <w:gridSpan w:val="3"/>
          </w:tcPr>
          <w:p w14:paraId="662AE34B" w14:textId="78AFD2C0" w:rsidR="003066EE" w:rsidRDefault="00000000" w:rsidP="007911DC">
            <w:pPr>
              <w:widowControl w:val="0"/>
            </w:pPr>
            <w:r>
              <w:rPr>
                <w:rFonts w:eastAsia="Arial"/>
                <w:b/>
                <w:bCs/>
                <w:color w:val="000000"/>
                <w:u w:val="single"/>
              </w:rPr>
              <w:t>ASSET</w:t>
            </w:r>
            <w:r w:rsidR="00AF3D5F">
              <w:rPr>
                <w:rFonts w:eastAsia="Arial"/>
                <w:b/>
                <w:bCs/>
                <w:color w:val="000000"/>
                <w:u w:val="single"/>
              </w:rPr>
              <w:t xml:space="preserve"> WRITEOFF</w:t>
            </w:r>
            <w:r>
              <w:rPr>
                <w:rFonts w:eastAsia="Arial"/>
                <w:b/>
                <w:bCs/>
                <w:color w:val="000000"/>
                <w:u w:val="single"/>
              </w:rPr>
              <w:t>:</w:t>
            </w:r>
          </w:p>
          <w:p w14:paraId="4EB766AD" w14:textId="751EF9D8" w:rsidR="009C06C2" w:rsidRDefault="009C06C2" w:rsidP="00AF3D5F">
            <w:pPr>
              <w:widowControl w:val="0"/>
              <w:pBdr>
                <w:left w:val="none" w:sz="0" w:space="31" w:color="auto"/>
              </w:pBdr>
              <w:ind w:left="3015"/>
            </w:pPr>
            <w:r>
              <w:t xml:space="preserve">The asset LMI Mortgage Income Fund with </w:t>
            </w:r>
            <w:r w:rsidR="00145F26">
              <w:t>27,255.50</w:t>
            </w:r>
            <w:r>
              <w:t xml:space="preserve"> units is currently in liquidation with the latest potential recovery of </w:t>
            </w:r>
            <w:r w:rsidR="002329D5">
              <w:t>11.3</w:t>
            </w:r>
            <w:r>
              <w:t>c per unit (total $</w:t>
            </w:r>
            <w:r w:rsidR="00CF7265">
              <w:t>3,079.87</w:t>
            </w:r>
            <w:r>
              <w:t xml:space="preserve">).  There is no timeframe on the recovery of </w:t>
            </w:r>
            <w:r w:rsidR="009928B5">
              <w:t xml:space="preserve">amount nor any guarantee that this money will be receivable.  </w:t>
            </w:r>
          </w:p>
          <w:p w14:paraId="62E7FEFF" w14:textId="77777777" w:rsidR="009C06C2" w:rsidRDefault="009C06C2" w:rsidP="00AF3D5F">
            <w:pPr>
              <w:widowControl w:val="0"/>
              <w:pBdr>
                <w:left w:val="none" w:sz="0" w:space="31" w:color="auto"/>
              </w:pBdr>
              <w:ind w:left="3015"/>
            </w:pPr>
          </w:p>
          <w:p w14:paraId="33E3486C" w14:textId="63D10291" w:rsidR="009C06C2" w:rsidRDefault="009C06C2" w:rsidP="00AF3D5F">
            <w:pPr>
              <w:widowControl w:val="0"/>
              <w:pBdr>
                <w:left w:val="none" w:sz="0" w:space="31" w:color="auto"/>
              </w:pBdr>
              <w:ind w:left="3015"/>
            </w:pPr>
            <w:r>
              <w:t xml:space="preserve">The fund is in the process of winding up and the members have requested that the Assets be written off immediately so that the wind up can be finalized </w:t>
            </w:r>
            <w:r w:rsidR="00FD5467">
              <w:t>at</w:t>
            </w:r>
            <w:r>
              <w:t xml:space="preserve"> 30/06/2023.</w:t>
            </w:r>
          </w:p>
          <w:p w14:paraId="3BC870E0" w14:textId="77777777" w:rsidR="002329D5" w:rsidRDefault="002329D5" w:rsidP="00AF3D5F">
            <w:pPr>
              <w:widowControl w:val="0"/>
              <w:pBdr>
                <w:left w:val="none" w:sz="0" w:space="31" w:color="auto"/>
              </w:pBdr>
              <w:ind w:left="3015"/>
            </w:pPr>
          </w:p>
          <w:p w14:paraId="5BA16A9B" w14:textId="089978C0" w:rsidR="002329D5" w:rsidRDefault="002329D5" w:rsidP="00AF3D5F">
            <w:pPr>
              <w:widowControl w:val="0"/>
              <w:pBdr>
                <w:left w:val="none" w:sz="0" w:space="31" w:color="auto"/>
              </w:pBdr>
              <w:ind w:left="3015"/>
            </w:pPr>
            <w:r>
              <w:t>To keep the fund open to await the distribution of funds would far exceed the potential distribution.</w:t>
            </w:r>
          </w:p>
          <w:p w14:paraId="013229C2" w14:textId="77777777" w:rsidR="009C06C2" w:rsidRDefault="009C06C2" w:rsidP="00AF3D5F">
            <w:pPr>
              <w:widowControl w:val="0"/>
              <w:pBdr>
                <w:left w:val="none" w:sz="0" w:space="31" w:color="auto"/>
              </w:pBdr>
              <w:ind w:left="3015"/>
            </w:pPr>
          </w:p>
          <w:p w14:paraId="04FBD4EE" w14:textId="0DB35238" w:rsidR="003066EE" w:rsidRDefault="00000000" w:rsidP="009C06C2">
            <w:pPr>
              <w:widowControl w:val="0"/>
              <w:pBdr>
                <w:left w:val="none" w:sz="0" w:space="31" w:color="auto"/>
              </w:pBdr>
              <w:ind w:left="3015"/>
            </w:pPr>
            <w:r>
              <w:t xml:space="preserve">It was resolved that having regard to </w:t>
            </w:r>
            <w:r w:rsidR="002329D5">
              <w:t xml:space="preserve">the costs of keeping the fund open, </w:t>
            </w:r>
            <w:r w:rsidR="009C06C2">
              <w:t>s</w:t>
            </w:r>
            <w:r w:rsidR="009928B5">
              <w:t>mall amount involved</w:t>
            </w:r>
            <w:r w:rsidR="002329D5">
              <w:t xml:space="preserve"> and </w:t>
            </w:r>
            <w:r w:rsidR="009928B5">
              <w:t xml:space="preserve">the uncertain timeframe, </w:t>
            </w:r>
            <w:r w:rsidR="009C06C2">
              <w:t>that the Fund give up its rights to any capital distributions of the LMI Mortgage Income Fund in the event of a later distribution</w:t>
            </w:r>
            <w:r w:rsidR="002329D5">
              <w:t>,</w:t>
            </w:r>
            <w:r w:rsidR="009C06C2">
              <w:t xml:space="preserve"> in order to facilitate the wind up of the fund.</w:t>
            </w:r>
          </w:p>
          <w:p w14:paraId="2BBF8E47" w14:textId="77777777" w:rsidR="002329D5" w:rsidRDefault="002329D5" w:rsidP="009C06C2">
            <w:pPr>
              <w:widowControl w:val="0"/>
              <w:pBdr>
                <w:left w:val="none" w:sz="0" w:space="31" w:color="auto"/>
              </w:pBdr>
              <w:ind w:left="3015"/>
            </w:pPr>
          </w:p>
          <w:p w14:paraId="4C245247" w14:textId="77777777" w:rsidR="003066EE" w:rsidRDefault="003066EE" w:rsidP="007911DC">
            <w:pPr>
              <w:widowControl w:val="0"/>
            </w:pPr>
          </w:p>
          <w:p w14:paraId="287540E4" w14:textId="77777777" w:rsidR="003066EE" w:rsidRDefault="00000000" w:rsidP="007911DC">
            <w:pPr>
              <w:widowControl w:val="0"/>
            </w:pPr>
            <w:r>
              <w:rPr>
                <w:rFonts w:eastAsia="Arial"/>
                <w:b/>
                <w:bCs/>
                <w:color w:val="000000"/>
                <w:u w:val="single"/>
              </w:rPr>
              <w:t>CLOSURE:</w:t>
            </w:r>
          </w:p>
          <w:p w14:paraId="35472F2A" w14:textId="77777777" w:rsidR="003066EE" w:rsidRDefault="00000000" w:rsidP="007911DC">
            <w:pPr>
              <w:widowControl w:val="0"/>
              <w:pBdr>
                <w:left w:val="none" w:sz="0" w:space="31" w:color="auto"/>
              </w:pBdr>
              <w:ind w:left="3000"/>
            </w:pPr>
            <w:r>
              <w:t xml:space="preserve">There being no further business the meeting was closed. </w:t>
            </w:r>
          </w:p>
        </w:tc>
      </w:tr>
      <w:tr w:rsidR="003066EE" w14:paraId="50B2B867" w14:textId="77777777" w:rsidTr="00AF3D5F">
        <w:trPr>
          <w:cantSplit/>
          <w:trHeight w:val="170"/>
        </w:trPr>
        <w:tc>
          <w:tcPr>
            <w:tcW w:w="2977" w:type="dxa"/>
            <w:vMerge w:val="restart"/>
          </w:tcPr>
          <w:p w14:paraId="3A1FFF84" w14:textId="77777777" w:rsidR="00CE02FC" w:rsidRPr="006D5EE1" w:rsidRDefault="00000000" w:rsidP="000F4A50">
            <w:pPr>
              <w:keepNext/>
              <w:keepLines/>
              <w:widowControl w:val="0"/>
              <w:spacing w:before="85" w:line="292" w:lineRule="auto"/>
              <w:ind w:left="102" w:right="-29"/>
              <w:rPr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  <w:gridSpan w:val="3"/>
          </w:tcPr>
          <w:p w14:paraId="789A40BE" w14:textId="77777777" w:rsidR="00CE02FC" w:rsidRPr="00D860AF" w:rsidRDefault="00000000" w:rsidP="000F4A50">
            <w:pPr>
              <w:keepNext/>
              <w:keepLines/>
              <w:widowControl w:val="0"/>
              <w:spacing w:before="42" w:line="293" w:lineRule="auto"/>
              <w:rPr>
                <w:szCs w:val="17"/>
              </w:rPr>
            </w:pPr>
          </w:p>
        </w:tc>
      </w:tr>
      <w:tr w:rsidR="003066EE" w14:paraId="739C9D9D" w14:textId="77777777" w:rsidTr="00AF3D5F">
        <w:trPr>
          <w:cantSplit/>
        </w:trPr>
        <w:tc>
          <w:tcPr>
            <w:tcW w:w="2977" w:type="dxa"/>
            <w:vMerge/>
          </w:tcPr>
          <w:p w14:paraId="73591929" w14:textId="77777777" w:rsidR="00CE02FC" w:rsidRPr="006D5EE1" w:rsidRDefault="00000000" w:rsidP="000F4A50">
            <w:pPr>
              <w:keepNext/>
              <w:keepLines/>
              <w:widowControl w:val="0"/>
              <w:spacing w:before="85" w:line="292" w:lineRule="auto"/>
              <w:ind w:left="102" w:right="-29"/>
              <w:rPr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  <w:gridSpan w:val="3"/>
          </w:tcPr>
          <w:p w14:paraId="3C27409E" w14:textId="77777777" w:rsidR="00CE02FC" w:rsidRDefault="00000000" w:rsidP="000F4A50">
            <w:pPr>
              <w:keepNext/>
              <w:keepLines/>
              <w:widowControl w:val="0"/>
              <w:spacing w:before="42"/>
              <w:rPr>
                <w:szCs w:val="17"/>
              </w:rPr>
            </w:pPr>
          </w:p>
          <w:p w14:paraId="48E6B7A7" w14:textId="77777777" w:rsidR="00CE02FC" w:rsidRPr="00FA216B" w:rsidRDefault="00000000" w:rsidP="00770A36">
            <w:pPr>
              <w:keepNext/>
              <w:keepLines/>
              <w:widowControl w:val="0"/>
              <w:tabs>
                <w:tab w:val="left" w:pos="4575"/>
              </w:tabs>
              <w:rPr>
                <w:sz w:val="8"/>
                <w:szCs w:val="8"/>
              </w:rPr>
            </w:pPr>
            <w:r w:rsidRPr="004C2254">
              <w:rPr>
                <w:color w:val="FFFFFF" w:themeColor="background1"/>
                <w:sz w:val="8"/>
                <w:szCs w:val="8"/>
              </w:rPr>
              <w:t xml:space="preserve">/Sign_d87ff283-8881-45e4-b47e-16f6a7408fd0/ </w:t>
            </w:r>
            <w:r w:rsidRPr="00FA216B">
              <w:rPr>
                <w:sz w:val="8"/>
                <w:szCs w:val="8"/>
              </w:rPr>
              <w:t xml:space="preserve">                                                            </w:t>
            </w:r>
            <w:r>
              <w:rPr>
                <w:sz w:val="8"/>
                <w:szCs w:val="8"/>
              </w:rPr>
              <w:t xml:space="preserve">                                                                               </w:t>
            </w:r>
            <w:r w:rsidRPr="00FA216B">
              <w:rPr>
                <w:sz w:val="8"/>
                <w:szCs w:val="8"/>
              </w:rPr>
              <w:t xml:space="preserve"> </w:t>
            </w:r>
            <w:r w:rsidRPr="004C2254">
              <w:rPr>
                <w:color w:val="FFFFFF" w:themeColor="background1"/>
                <w:sz w:val="8"/>
                <w:szCs w:val="8"/>
              </w:rPr>
              <w:t>/Date_d87ff283-8881-45e4-b47e-16f6a7408fd0/</w:t>
            </w:r>
          </w:p>
          <w:p w14:paraId="56205BBB" w14:textId="77777777" w:rsidR="00CE02FC" w:rsidRDefault="00000000" w:rsidP="00770A36">
            <w:pPr>
              <w:keepNext/>
              <w:keepLines/>
              <w:widowControl w:val="0"/>
              <w:rPr>
                <w:szCs w:val="17"/>
              </w:rPr>
            </w:pPr>
            <w:r w:rsidRPr="009D3D8B">
              <w:rPr>
                <w:szCs w:val="17"/>
              </w:rPr>
              <w:t>........................................................................  Dated: ....../....../..........</w:t>
            </w:r>
          </w:p>
          <w:p w14:paraId="326BFB83" w14:textId="1412960F" w:rsidR="00CE02FC" w:rsidRPr="00FD5467" w:rsidRDefault="00FD5467" w:rsidP="000F4A50">
            <w:pPr>
              <w:keepNext/>
              <w:keepLines/>
              <w:widowControl w:val="0"/>
              <w:spacing w:before="42"/>
              <w:rPr>
                <w:i/>
                <w:iCs/>
                <w:szCs w:val="17"/>
              </w:rPr>
            </w:pPr>
            <w:r w:rsidRPr="00FD5467">
              <w:rPr>
                <w:i/>
                <w:iCs/>
                <w:szCs w:val="17"/>
              </w:rPr>
              <w:t>David Francis</w:t>
            </w:r>
          </w:p>
        </w:tc>
      </w:tr>
    </w:tbl>
    <w:p w14:paraId="2809B092" w14:textId="77777777" w:rsidR="00077AA4" w:rsidRDefault="00000000" w:rsidP="00AF3D5F">
      <w:pPr>
        <w:widowControl w:val="0"/>
        <w:spacing w:line="180" w:lineRule="exact"/>
        <w:rPr>
          <w:lang w:val="en-AU"/>
        </w:rPr>
      </w:pPr>
    </w:p>
    <w:sectPr w:rsidR="00077AA4">
      <w:headerReference w:type="default" r:id="rId6"/>
      <w:footerReference w:type="default" r:id="rId7"/>
      <w:pgSz w:w="11906" w:h="16838"/>
      <w:pgMar w:top="237" w:right="1019" w:bottom="237" w:left="1019" w:header="237" w:footer="23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E4BC" w14:textId="77777777" w:rsidR="008849F4" w:rsidRDefault="008849F4">
      <w:r>
        <w:separator/>
      </w:r>
    </w:p>
  </w:endnote>
  <w:endnote w:type="continuationSeparator" w:id="0">
    <w:p w14:paraId="2244F2AB" w14:textId="77777777" w:rsidR="008849F4" w:rsidRDefault="0088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C63C" w14:textId="77777777" w:rsidR="007714C0" w:rsidRDefault="00000000" w:rsidP="00890CC7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12F0E99B" w14:textId="77777777" w:rsidR="00E33317" w:rsidRPr="00890CC7" w:rsidRDefault="00000000" w:rsidP="00890CC7">
    <w:pPr>
      <w:pStyle w:val="Style17"/>
      <w:tabs>
        <w:tab w:val="left" w:pos="1985"/>
      </w:tabs>
      <w:spacing w:line="204" w:lineRule="exact"/>
      <w:rPr>
        <w:color w:val="000000"/>
        <w:sz w:val="18"/>
        <w:szCs w:val="18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ab/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3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SimSun"/>
        <w:b/>
        <w:bCs/>
        <w:noProof/>
        <w:color w:val="000000"/>
        <w:sz w:val="18"/>
        <w:szCs w:val="18"/>
      </w:rPr>
      <w:t xml:space="preserve"> of </w:t>
    </w:r>
    <w:r>
      <w:rPr>
        <w:rFonts w:eastAsia="SimSun"/>
        <w:b/>
        <w:bCs/>
        <w:noProof/>
        <w:color w:val="000000"/>
        <w:sz w:val="18"/>
        <w:szCs w:val="18"/>
      </w:rPr>
      <w:fldChar w:fldCharType="begin"/>
    </w:r>
    <w:r>
      <w:rPr>
        <w:rFonts w:eastAsia="SimSu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SimSun"/>
        <w:b/>
        <w:bCs/>
        <w:noProof/>
        <w:color w:val="000000"/>
        <w:sz w:val="18"/>
        <w:szCs w:val="18"/>
      </w:rPr>
      <w:fldChar w:fldCharType="separate"/>
    </w:r>
    <w:r>
      <w:rPr>
        <w:rFonts w:eastAsia="SimSun"/>
        <w:b/>
        <w:bCs/>
        <w:noProof/>
        <w:color w:val="000000"/>
        <w:sz w:val="18"/>
        <w:szCs w:val="18"/>
      </w:rPr>
      <w:t>3</w:t>
    </w:r>
    <w:r>
      <w:rPr>
        <w:rFonts w:eastAsia="SimSun"/>
        <w:b/>
        <w:bCs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36A3" w14:textId="77777777" w:rsidR="008849F4" w:rsidRDefault="008849F4">
      <w:r>
        <w:separator/>
      </w:r>
    </w:p>
  </w:footnote>
  <w:footnote w:type="continuationSeparator" w:id="0">
    <w:p w14:paraId="2C8DE500" w14:textId="77777777" w:rsidR="008849F4" w:rsidRDefault="0088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B124" w14:textId="77777777" w:rsidR="008715BE" w:rsidRPr="00F43308" w:rsidRDefault="00000000" w:rsidP="008715BE">
    <w:pPr>
      <w:pStyle w:val="Style15"/>
      <w:spacing w:line="283" w:lineRule="exact"/>
      <w:jc w:val="center"/>
      <w:rPr>
        <w:b/>
        <w:bCs/>
        <w:caps/>
        <w:color w:val="000000"/>
        <w:sz w:val="24"/>
        <w:szCs w:val="24"/>
      </w:rPr>
    </w:pPr>
    <w:r w:rsidRPr="00F43308">
      <w:rPr>
        <w:b/>
        <w:bCs/>
        <w:caps/>
        <w:color w:val="000000"/>
        <w:sz w:val="24"/>
        <w:szCs w:val="24"/>
      </w:rPr>
      <w:t>Minutes of the meeting of the trustees of</w:t>
    </w:r>
  </w:p>
  <w:p w14:paraId="29297E5B" w14:textId="446242FF" w:rsidR="00EF4F61" w:rsidRPr="00F43308" w:rsidRDefault="00D64D68" w:rsidP="00EF4F61">
    <w:pPr>
      <w:pStyle w:val="Style15"/>
      <w:spacing w:line="283" w:lineRule="exact"/>
      <w:jc w:val="center"/>
      <w:rPr>
        <w:b/>
        <w:bCs/>
        <w:caps/>
        <w:color w:val="000000"/>
        <w:sz w:val="24"/>
        <w:szCs w:val="24"/>
      </w:rPr>
    </w:pPr>
    <w:r>
      <w:rPr>
        <w:b/>
        <w:bCs/>
        <w:caps/>
        <w:color w:val="000000"/>
        <w:sz w:val="24"/>
        <w:szCs w:val="24"/>
      </w:rPr>
      <w:t>D &amp; V FRANCIS</w:t>
    </w:r>
    <w:r w:rsidR="00000000" w:rsidRPr="00F43308">
      <w:rPr>
        <w:b/>
        <w:bCs/>
        <w:caps/>
        <w:color w:val="000000"/>
        <w:sz w:val="24"/>
        <w:szCs w:val="24"/>
      </w:rPr>
      <w:t xml:space="preserve"> Super</w:t>
    </w:r>
    <w:r>
      <w:rPr>
        <w:b/>
        <w:bCs/>
        <w:caps/>
        <w:color w:val="000000"/>
        <w:sz w:val="24"/>
        <w:szCs w:val="24"/>
      </w:rPr>
      <w:t>ANNUATION</w:t>
    </w:r>
    <w:r w:rsidR="00000000" w:rsidRPr="00F43308">
      <w:rPr>
        <w:b/>
        <w:bCs/>
        <w:caps/>
        <w:color w:val="000000"/>
        <w:sz w:val="24"/>
        <w:szCs w:val="24"/>
      </w:rPr>
      <w:t xml:space="preserve"> Fund</w:t>
    </w:r>
  </w:p>
  <w:p w14:paraId="37E13F74" w14:textId="77777777" w:rsidR="00EF4F61" w:rsidRPr="00F43308" w:rsidRDefault="00000000" w:rsidP="00EF4F61">
    <w:pPr>
      <w:pStyle w:val="Style15"/>
      <w:spacing w:line="283" w:lineRule="exact"/>
      <w:jc w:val="center"/>
      <w:rPr>
        <w:b/>
        <w:bCs/>
        <w:caps/>
        <w:color w:val="000000"/>
        <w:sz w:val="24"/>
        <w:szCs w:val="24"/>
      </w:rPr>
    </w:pPr>
    <w:r w:rsidRPr="00F43308">
      <w:rPr>
        <w:b/>
        <w:bCs/>
        <w:caps/>
        <w:color w:val="000000"/>
        <w:sz w:val="24"/>
        <w:szCs w:val="24"/>
      </w:rPr>
      <w:t>Held on ....../....../.......... at</w:t>
    </w:r>
  </w:p>
  <w:p w14:paraId="574C092D" w14:textId="7E5DCDF3" w:rsidR="00EF4F61" w:rsidRPr="00F43308" w:rsidRDefault="00D64D68" w:rsidP="00EF4F61">
    <w:pPr>
      <w:pStyle w:val="Style15"/>
      <w:spacing w:line="283" w:lineRule="exact"/>
      <w:jc w:val="center"/>
      <w:rPr>
        <w:b/>
        <w:bCs/>
        <w:caps/>
        <w:color w:val="000000"/>
        <w:sz w:val="24"/>
        <w:szCs w:val="24"/>
      </w:rPr>
    </w:pPr>
    <w:r>
      <w:rPr>
        <w:b/>
        <w:bCs/>
        <w:caps/>
        <w:color w:val="000000"/>
        <w:sz w:val="24"/>
        <w:szCs w:val="24"/>
      </w:rPr>
      <w:t>165/8 HALCYON WAY, LOGAN RESERVE</w:t>
    </w:r>
    <w:r w:rsidR="00FD5467">
      <w:rPr>
        <w:b/>
        <w:bCs/>
        <w:caps/>
        <w:color w:val="000000"/>
        <w:sz w:val="24"/>
        <w:szCs w:val="24"/>
      </w:rPr>
      <w:t>, QLD 4133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6EE"/>
    <w:rsid w:val="00145F26"/>
    <w:rsid w:val="002329D5"/>
    <w:rsid w:val="003066EE"/>
    <w:rsid w:val="006C5343"/>
    <w:rsid w:val="00794DD9"/>
    <w:rsid w:val="008849F4"/>
    <w:rsid w:val="009928B5"/>
    <w:rsid w:val="009C06C2"/>
    <w:rsid w:val="00AF3D5F"/>
    <w:rsid w:val="00CF7265"/>
    <w:rsid w:val="00D64D68"/>
    <w:rsid w:val="00DC16B4"/>
    <w:rsid w:val="00EE74C3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276E5"/>
  <w15:docId w15:val="{8C98049C-748D-4B2F-9D09-0F0AF819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00A4"/>
    <w:pPr>
      <w:autoSpaceDE w:val="0"/>
      <w:autoSpaceDN w:val="0"/>
      <w:adjustRightInd w:val="0"/>
    </w:pPr>
    <w:rPr>
      <w:rFonts w:ascii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625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5027"/>
  </w:style>
  <w:style w:type="character" w:customStyle="1" w:styleId="CommentTextChar">
    <w:name w:val="Comment Text Char"/>
    <w:link w:val="CommentText"/>
    <w:uiPriority w:val="99"/>
    <w:rsid w:val="00625027"/>
    <w:rPr>
      <w:rFonts w:ascii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0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25027"/>
    <w:rPr>
      <w:rFonts w:ascii="Arial" w:hAnsi="Arial" w:cs="Arial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5027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146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46940"/>
    <w:rPr>
      <w:rFonts w:ascii="Arial" w:hAnsi="Arial" w:cs="Arial"/>
      <w:lang w:val="en-US"/>
    </w:rPr>
  </w:style>
  <w:style w:type="paragraph" w:customStyle="1" w:styleId="Style16">
    <w:name w:val="Style16"/>
    <w:basedOn w:val="Normal"/>
    <w:uiPriority w:val="99"/>
    <w:rsid w:val="00146940"/>
    <w:pPr>
      <w:widowControl w:val="0"/>
      <w:tabs>
        <w:tab w:val="left" w:pos="1680"/>
      </w:tabs>
    </w:pPr>
    <w:rPr>
      <w:rFonts w:eastAsiaTheme="minorEastAsia"/>
    </w:rPr>
  </w:style>
  <w:style w:type="paragraph" w:customStyle="1" w:styleId="Style15">
    <w:name w:val="Style15"/>
    <w:basedOn w:val="Normal"/>
    <w:uiPriority w:val="99"/>
    <w:rsid w:val="008715BE"/>
    <w:pPr>
      <w:widowControl w:val="0"/>
      <w:tabs>
        <w:tab w:val="center" w:pos="4845"/>
      </w:tabs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8715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5BE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715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5BE"/>
    <w:rPr>
      <w:rFonts w:ascii="Arial" w:hAnsi="Arial" w:cs="Arial"/>
      <w:lang w:val="en-US"/>
    </w:rPr>
  </w:style>
  <w:style w:type="paragraph" w:customStyle="1" w:styleId="Style17">
    <w:name w:val="Style17"/>
    <w:basedOn w:val="Normal"/>
    <w:uiPriority w:val="99"/>
    <w:rsid w:val="00091DB4"/>
    <w:pPr>
      <w:widowControl w:val="0"/>
      <w:tabs>
        <w:tab w:val="left" w:pos="961"/>
        <w:tab w:val="center" w:pos="5145"/>
        <w:tab w:val="right" w:pos="9840"/>
      </w:tabs>
    </w:pPr>
    <w:rPr>
      <w:rFonts w:eastAsiaTheme="minorEastAsia"/>
    </w:rPr>
  </w:style>
  <w:style w:type="character" w:customStyle="1" w:styleId="CommentReference0">
    <w:name w:val="Comment Reference_0"/>
    <w:uiPriority w:val="99"/>
    <w:semiHidden/>
    <w:unhideWhenUsed/>
    <w:rsid w:val="00625027"/>
    <w:rPr>
      <w:rFonts w:ascii="Arial" w:hAnsi="Arial" w:cs="Arial"/>
      <w:sz w:val="16"/>
      <w:szCs w:val="16"/>
    </w:rPr>
  </w:style>
  <w:style w:type="paragraph" w:customStyle="1" w:styleId="Normal0">
    <w:name w:val="Normal_0"/>
    <w:qFormat/>
    <w:rPr>
      <w:sz w:val="24"/>
      <w:szCs w:val="24"/>
    </w:rPr>
  </w:style>
  <w:style w:type="paragraph" w:customStyle="1" w:styleId="Normal00">
    <w:name w:val="Normal_0_0"/>
    <w:qFormat/>
    <w:rsid w:val="006700A4"/>
    <w:pPr>
      <w:autoSpaceDE w:val="0"/>
      <w:autoSpaceDN w:val="0"/>
      <w:adjustRightInd w:val="0"/>
    </w:pPr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cp:lastModifiedBy>Chris Lee</cp:lastModifiedBy>
  <cp:revision>30</cp:revision>
  <dcterms:created xsi:type="dcterms:W3CDTF">2014-06-25T07:30:00Z</dcterms:created>
  <dcterms:modified xsi:type="dcterms:W3CDTF">2023-07-12T01:33:00Z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 Objects Context Information">
    <vt:lpwstr>01C98ADFD85ABD52DCA45C8762D33FCD4A4CA5E8551BD46A5E76E902D4CB3DCD493B6B27B7D873CA6DA5402FC94CC9F1F7C2D04A6375C31759A14306C5D1F19F9DE7D512EC42773A9F926D10C322DBB4EB02C7A7834975AD88C780CAED790A007159EAB3AA7104AF88A12266965F793F75D4E5A1EA2745BAD5E908BA0BC78D6</vt:lpwstr>
  </property>
  <property fmtid="{D5CDD505-2E9C-101B-9397-08002B2CF9AE}" pid="3" name="Business Objects Context Information1">
    <vt:lpwstr>0A8FCA3686DF2510907271FEABB618C06971B3259E596C2F13A256C261C8957B6B347D15F16D707170925921D239ECDA63B971B52100C2278D2FB79D15B129AD58AF607AEE5C22274B39F767F2B70E1F3456EC05E85289735FDB539165746A933D09C56FB147B8F611DBB4DD637AF738747716EFCD3B21655B532DD294D0D60</vt:lpwstr>
  </property>
  <property fmtid="{D5CDD505-2E9C-101B-9397-08002B2CF9AE}" pid="4" name="Business Objects Context Information2">
    <vt:lpwstr>8A21F17199753FE29A694A338007366D7215D8BB690AF1F2B84A42F1042E54B3F8F85834EB0BE7DA6CACF826868C3938B0EBECF1B707A8241F791C6405434ED156809A8AFF947B73EFC52B709578830A971E8E785230FB07ECEDD2A741AB1C20DA16</vt:lpwstr>
  </property>
  <property fmtid="{D5CDD505-2E9C-101B-9397-08002B2CF9AE}" pid="5" name="Host">
    <vt:lpwstr>https://services.classsuper.com.au/</vt:lpwstr>
  </property>
</Properties>
</file>