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8ED32" w14:textId="76696290" w:rsidR="00150CFF" w:rsidRDefault="00036FB0" w:rsidP="004E7C8B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="004E7C8B" w:rsidRPr="00036FB0">
        <w:rPr>
          <w:b/>
          <w:sz w:val="28"/>
          <w:szCs w:val="28"/>
        </w:rPr>
        <w:t xml:space="preserve"> </w:t>
      </w:r>
      <w:r w:rsidR="00150CFF">
        <w:rPr>
          <w:b/>
          <w:sz w:val="28"/>
          <w:szCs w:val="28"/>
        </w:rPr>
        <w:t>Declaration</w:t>
      </w:r>
    </w:p>
    <w:p w14:paraId="4E7E37C4" w14:textId="654A13CC" w:rsidR="004E7C8B" w:rsidRPr="00036FB0" w:rsidRDefault="00150CFF" w:rsidP="004E7C8B">
      <w:pPr>
        <w:spacing w:after="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Ownership </w:t>
      </w:r>
      <w:r w:rsidR="004E7C8B" w:rsidRPr="00036FB0">
        <w:rPr>
          <w:b/>
          <w:sz w:val="28"/>
          <w:szCs w:val="28"/>
        </w:rPr>
        <w:t>V</w:t>
      </w:r>
      <w:r w:rsidR="00036FB0" w:rsidRPr="00036FB0">
        <w:rPr>
          <w:b/>
          <w:sz w:val="28"/>
          <w:szCs w:val="28"/>
        </w:rPr>
        <w:t>aluation</w:t>
      </w:r>
      <w:r w:rsidR="004E7C8B" w:rsidRPr="00036FB0">
        <w:rPr>
          <w:b/>
          <w:sz w:val="28"/>
          <w:szCs w:val="28"/>
        </w:rPr>
        <w:t xml:space="preserve"> </w:t>
      </w:r>
      <w:r w:rsidR="00036FB0" w:rsidRPr="00036FB0">
        <w:rPr>
          <w:b/>
          <w:sz w:val="28"/>
          <w:szCs w:val="28"/>
        </w:rPr>
        <w:t>of</w:t>
      </w:r>
      <w:r w:rsidR="004E7C8B" w:rsidRPr="00036FB0">
        <w:rPr>
          <w:b/>
          <w:sz w:val="28"/>
          <w:szCs w:val="28"/>
        </w:rPr>
        <w:t xml:space="preserve"> F</w:t>
      </w:r>
      <w:r w:rsidR="00036FB0" w:rsidRPr="00036FB0">
        <w:rPr>
          <w:b/>
          <w:sz w:val="28"/>
          <w:szCs w:val="28"/>
        </w:rPr>
        <w:t>und</w:t>
      </w:r>
      <w:r w:rsidR="004E7C8B" w:rsidRPr="00036FB0">
        <w:rPr>
          <w:b/>
          <w:sz w:val="28"/>
          <w:szCs w:val="28"/>
        </w:rPr>
        <w:t xml:space="preserve"> A</w:t>
      </w:r>
      <w:r w:rsidR="00036FB0" w:rsidRPr="00036FB0">
        <w:rPr>
          <w:b/>
          <w:sz w:val="28"/>
          <w:szCs w:val="28"/>
        </w:rPr>
        <w:t>ssets</w:t>
      </w:r>
    </w:p>
    <w:p w14:paraId="17921008" w14:textId="28160F4D" w:rsidR="004E7C8B" w:rsidRDefault="00D838FB" w:rsidP="00D838FB">
      <w:pPr>
        <w:autoSpaceDE w:val="0"/>
        <w:autoSpaceDN w:val="0"/>
        <w:adjustRightInd w:val="0"/>
        <w:spacing w:after="0" w:line="288" w:lineRule="auto"/>
        <w:jc w:val="center"/>
        <w:rPr>
          <w:rFonts w:ascii="Arial,Bold" w:hAnsi="Arial,Bold" w:cs="Arial,Bold"/>
          <w:b/>
          <w:bCs/>
        </w:rPr>
      </w:pPr>
      <w:r w:rsidRPr="00D838FB">
        <w:rPr>
          <w:b/>
          <w:sz w:val="28"/>
          <w:szCs w:val="28"/>
        </w:rPr>
        <w:t>Davidson Superannuation Fund</w:t>
      </w:r>
    </w:p>
    <w:p w14:paraId="597DC2AB" w14:textId="77777777" w:rsidR="00036FB0" w:rsidRPr="005B06CC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="Arial,Bold" w:hAnsi="Arial,Bold" w:cs="Arial,Bold"/>
          <w:b/>
          <w:bCs/>
        </w:rPr>
      </w:pPr>
    </w:p>
    <w:p w14:paraId="48A20A10" w14:textId="30D8F50E" w:rsidR="004E7C8B" w:rsidRDefault="004E7C8B" w:rsidP="00036FB0">
      <w:pPr>
        <w:spacing w:after="0" w:line="288" w:lineRule="auto"/>
        <w:jc w:val="both"/>
      </w:pPr>
      <w:r w:rsidRPr="00D838FB">
        <w:t xml:space="preserve">We, </w:t>
      </w:r>
      <w:r w:rsidR="00D838FB" w:rsidRPr="00D838FB">
        <w:t xml:space="preserve">Aaron Casey, </w:t>
      </w:r>
      <w:bookmarkStart w:id="0" w:name="_Hlk54079976"/>
      <w:r w:rsidR="00D838FB" w:rsidRPr="00D838FB">
        <w:t xml:space="preserve">Marguerite Pocknell </w:t>
      </w:r>
      <w:bookmarkEnd w:id="0"/>
      <w:r w:rsidRPr="00D838FB">
        <w:t xml:space="preserve">and </w:t>
      </w:r>
      <w:r w:rsidR="00D838FB" w:rsidRPr="00D838FB">
        <w:t>Tracy Davidson</w:t>
      </w:r>
      <w:r w:rsidRPr="00D838FB">
        <w:t xml:space="preserve">, as directors of </w:t>
      </w:r>
      <w:r w:rsidR="00D838FB" w:rsidRPr="00D838FB">
        <w:t>Davidson Super Invest Pty Ltd</w:t>
      </w:r>
      <w:r w:rsidRPr="00D838FB">
        <w:t xml:space="preserve"> ATF </w:t>
      </w:r>
      <w:r w:rsidR="00D838FB" w:rsidRPr="00D838FB">
        <w:t>Davidson Superannuation Fund</w:t>
      </w:r>
      <w:r w:rsidR="00036FB0" w:rsidRPr="00D838FB">
        <w:t xml:space="preserve"> </w:t>
      </w:r>
      <w:r w:rsidRPr="00D838FB">
        <w:t xml:space="preserve">hereby </w:t>
      </w:r>
      <w:r w:rsidR="00150CFF">
        <w:t>declare</w:t>
      </w:r>
      <w:r w:rsidRPr="00D838FB">
        <w:t xml:space="preserve"> the following </w:t>
      </w:r>
      <w:r w:rsidR="00150CFF">
        <w:t xml:space="preserve">in relation to ownership, storage, and </w:t>
      </w:r>
      <w:r w:rsidRPr="00D838FB">
        <w:t xml:space="preserve">investment values as held by the </w:t>
      </w:r>
      <w:r w:rsidR="00D838FB" w:rsidRPr="00D838FB">
        <w:t xml:space="preserve">fund </w:t>
      </w:r>
      <w:proofErr w:type="gramStart"/>
      <w:r w:rsidR="00D838FB" w:rsidRPr="00D838FB">
        <w:t>at</w:t>
      </w:r>
      <w:proofErr w:type="gramEnd"/>
      <w:r w:rsidR="00D838FB" w:rsidRPr="00D838FB">
        <w:t xml:space="preserve"> 30 June 20</w:t>
      </w:r>
      <w:r w:rsidR="003B501D">
        <w:t>20</w:t>
      </w:r>
      <w:r w:rsidRPr="00D838FB">
        <w:t>:</w:t>
      </w:r>
      <w:r w:rsidRPr="00F370F7">
        <w:t xml:space="preserve"> </w:t>
      </w:r>
    </w:p>
    <w:p w14:paraId="0B68EFE4" w14:textId="77777777" w:rsidR="004E7C8B" w:rsidRDefault="004E7C8B" w:rsidP="00036FB0">
      <w:pPr>
        <w:spacing w:after="0" w:line="288" w:lineRule="auto"/>
        <w:jc w:val="both"/>
      </w:pPr>
    </w:p>
    <w:p w14:paraId="53C7BCC4" w14:textId="77777777" w:rsidR="004E7C8B" w:rsidRDefault="004E7C8B" w:rsidP="00036FB0">
      <w:pPr>
        <w:spacing w:after="0" w:line="288" w:lineRule="auto"/>
        <w:jc w:val="both"/>
      </w:pPr>
    </w:p>
    <w:p w14:paraId="437C7C83" w14:textId="62923A18" w:rsidR="00150CFF" w:rsidRPr="00150CFF" w:rsidRDefault="00D838FB" w:rsidP="00150CFF">
      <w:pPr>
        <w:pStyle w:val="ListParagraph"/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</w:rPr>
      </w:pPr>
      <w:r>
        <w:t>Crypto-currencies</w:t>
      </w:r>
      <w:r w:rsidR="00150CFF">
        <w:t xml:space="preserve"> - </w:t>
      </w:r>
    </w:p>
    <w:p w14:paraId="2550F62B" w14:textId="77777777" w:rsidR="00150CFF" w:rsidRDefault="00150CFF" w:rsidP="00150CFF">
      <w:pPr>
        <w:pStyle w:val="ListParagraph"/>
        <w:numPr>
          <w:ilvl w:val="0"/>
          <w:numId w:val="18"/>
        </w:numPr>
        <w:spacing w:line="288" w:lineRule="auto"/>
        <w:jc w:val="both"/>
      </w:pPr>
      <w:r>
        <w:t>The fund is the beneficial owner of the Crypto currency</w:t>
      </w:r>
    </w:p>
    <w:p w14:paraId="096DC012" w14:textId="77777777" w:rsidR="00150CFF" w:rsidRDefault="00150CFF" w:rsidP="00150CFF">
      <w:pPr>
        <w:pStyle w:val="ListParagraph"/>
        <w:numPr>
          <w:ilvl w:val="0"/>
          <w:numId w:val="18"/>
        </w:numPr>
        <w:spacing w:line="288" w:lineRule="auto"/>
        <w:jc w:val="both"/>
      </w:pPr>
      <w:r>
        <w:t>The currency is stored in a secure wallet</w:t>
      </w:r>
    </w:p>
    <w:p w14:paraId="0C4F2F41" w14:textId="1D0D49AB" w:rsidR="00150CFF" w:rsidRDefault="00150CFF" w:rsidP="00150CFF">
      <w:pPr>
        <w:pStyle w:val="ListParagraph"/>
        <w:numPr>
          <w:ilvl w:val="0"/>
          <w:numId w:val="18"/>
        </w:numPr>
        <w:spacing w:line="288" w:lineRule="auto"/>
        <w:jc w:val="both"/>
        <w:rPr>
          <w:rFonts w:asciiTheme="minorHAnsi" w:hAnsiTheme="minorHAnsi"/>
        </w:rPr>
      </w:pPr>
      <w:r>
        <w:t>Market values at 30 June 20</w:t>
      </w:r>
      <w:r w:rsidR="003E6B1F">
        <w:t>20</w:t>
      </w:r>
      <w:r>
        <w:t xml:space="preserve"> are :</w:t>
      </w:r>
      <w:r w:rsidR="00D838FB">
        <w:fldChar w:fldCharType="begin"/>
      </w:r>
      <w:r w:rsidR="00D838FB">
        <w:instrText xml:space="preserve"> LINK </w:instrText>
      </w:r>
      <w:r>
        <w:instrText xml:space="preserve">Excel.Sheet.12 "\\\\SCA-APP01\\HowNow\\Data\\Records\\contacts\\9623196\\2019\\2019 SMSF Workpapers Davidson Super Fund_r1086796.xlsx" "Crypto Holding!R13C19:R19C21" </w:instrText>
      </w:r>
      <w:r w:rsidR="00D838FB">
        <w:instrText xml:space="preserve">\a \f 4 \h  \* MERGEFORMAT </w:instrText>
      </w:r>
      <w:r w:rsidR="00D838FB">
        <w:fldChar w:fldCharType="separate"/>
      </w:r>
    </w:p>
    <w:p w14:paraId="5AAAD426" w14:textId="77777777" w:rsidR="003B501D" w:rsidRDefault="00D838FB" w:rsidP="00D838FB">
      <w:pPr>
        <w:pStyle w:val="ListParagraph"/>
        <w:spacing w:line="288" w:lineRule="auto"/>
        <w:ind w:left="1080"/>
        <w:jc w:val="both"/>
      </w:pPr>
      <w:r>
        <w:fldChar w:fldCharType="end"/>
      </w:r>
    </w:p>
    <w:tbl>
      <w:tblPr>
        <w:tblW w:w="8141" w:type="dxa"/>
        <w:tblLook w:val="04A0" w:firstRow="1" w:lastRow="0" w:firstColumn="1" w:lastColumn="0" w:noHBand="0" w:noVBand="1"/>
      </w:tblPr>
      <w:tblGrid>
        <w:gridCol w:w="1760"/>
        <w:gridCol w:w="2714"/>
        <w:gridCol w:w="1540"/>
        <w:gridCol w:w="2127"/>
      </w:tblGrid>
      <w:tr w:rsidR="003B501D" w:rsidRPr="003B501D" w14:paraId="5C7039B2" w14:textId="77777777" w:rsidTr="003B501D">
        <w:trPr>
          <w:trHeight w:val="218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A811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Crypto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9474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Amount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FEC9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Price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13ED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 Value AUD</w:t>
            </w:r>
          </w:p>
        </w:tc>
      </w:tr>
      <w:tr w:rsidR="003B501D" w:rsidRPr="003B501D" w14:paraId="4320D34D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5042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XRP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D1B6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1,931.70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15DF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0.25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F548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492.40 </w:t>
            </w:r>
          </w:p>
        </w:tc>
      </w:tr>
      <w:tr w:rsidR="003B501D" w:rsidRPr="003B501D" w14:paraId="2D933493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0C75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POWR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DC63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    708.65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B3C7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0.12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D633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86.04 </w:t>
            </w:r>
          </w:p>
        </w:tc>
      </w:tr>
      <w:tr w:rsidR="003B501D" w:rsidRPr="003B501D" w14:paraId="2ECB2A0E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146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ETH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540C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        2.97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445B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328.02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0211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973.21 </w:t>
            </w:r>
          </w:p>
        </w:tc>
      </w:tr>
      <w:tr w:rsidR="003B501D" w:rsidRPr="003B501D" w14:paraId="0DCB658B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39DF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SALT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F13C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      60.24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60BE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0.09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199C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 5.52 </w:t>
            </w:r>
          </w:p>
        </w:tc>
      </w:tr>
      <w:tr w:rsidR="003B501D" w:rsidRPr="003B501D" w14:paraId="6B147324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4050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XLM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2D74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 1,008.02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A6A9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0.10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9456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      97.99 </w:t>
            </w:r>
          </w:p>
        </w:tc>
      </w:tr>
      <w:tr w:rsidR="003B501D" w:rsidRPr="003B501D" w14:paraId="051C44ED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2C5C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77B3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E34B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A936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3B501D" w:rsidRPr="003B501D" w14:paraId="3322C337" w14:textId="77777777" w:rsidTr="003B501D">
        <w:trPr>
          <w:trHeight w:val="21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F671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Total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0552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0470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1AE0" w14:textId="77777777" w:rsidR="003B501D" w:rsidRPr="003B501D" w:rsidRDefault="003B501D" w:rsidP="003B5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B501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     1,655.15 </w:t>
            </w:r>
          </w:p>
        </w:tc>
      </w:tr>
    </w:tbl>
    <w:p w14:paraId="759328D5" w14:textId="7CD035BF" w:rsidR="004E7C8B" w:rsidRDefault="004E7C8B" w:rsidP="00D838FB">
      <w:pPr>
        <w:pStyle w:val="ListParagraph"/>
        <w:spacing w:line="288" w:lineRule="auto"/>
        <w:ind w:left="1080"/>
        <w:jc w:val="both"/>
      </w:pPr>
    </w:p>
    <w:p w14:paraId="03F08DDD" w14:textId="5EAE7AE4" w:rsidR="00150CFF" w:rsidRDefault="00150CFF" w:rsidP="00D838FB">
      <w:pPr>
        <w:pStyle w:val="ListParagraph"/>
        <w:numPr>
          <w:ilvl w:val="0"/>
          <w:numId w:val="16"/>
        </w:numPr>
        <w:spacing w:line="288" w:lineRule="auto"/>
        <w:jc w:val="both"/>
      </w:pPr>
      <w:r w:rsidRPr="00150CFF">
        <w:t>Gold Bullion 1 x 100g ABC Gold Cast Bar</w:t>
      </w:r>
    </w:p>
    <w:p w14:paraId="66AD595D" w14:textId="2740BFF9" w:rsidR="00150CFF" w:rsidRDefault="00150CFF" w:rsidP="00150CFF">
      <w:pPr>
        <w:pStyle w:val="ListParagraph"/>
        <w:numPr>
          <w:ilvl w:val="0"/>
          <w:numId w:val="19"/>
        </w:numPr>
        <w:spacing w:line="288" w:lineRule="auto"/>
        <w:jc w:val="both"/>
      </w:pPr>
      <w:r>
        <w:t>The bar is stored securely in a safe</w:t>
      </w:r>
    </w:p>
    <w:p w14:paraId="7A117A30" w14:textId="2B7D1434" w:rsidR="00150CFF" w:rsidRDefault="00150CFF" w:rsidP="00150CFF">
      <w:pPr>
        <w:pStyle w:val="ListParagraph"/>
        <w:numPr>
          <w:ilvl w:val="0"/>
          <w:numId w:val="19"/>
        </w:numPr>
        <w:spacing w:line="288" w:lineRule="auto"/>
        <w:jc w:val="both"/>
      </w:pPr>
      <w:r>
        <w:t>It is not used by any of the members for personal purposes</w:t>
      </w:r>
    </w:p>
    <w:p w14:paraId="787CC822" w14:textId="77777777" w:rsidR="00150CFF" w:rsidRDefault="00150CFF" w:rsidP="00150CFF">
      <w:pPr>
        <w:pStyle w:val="ListParagraph"/>
        <w:spacing w:line="288" w:lineRule="auto"/>
        <w:ind w:left="1800"/>
        <w:jc w:val="both"/>
      </w:pPr>
    </w:p>
    <w:p w14:paraId="2330B651" w14:textId="77777777" w:rsidR="00150CFF" w:rsidRDefault="00D838FB" w:rsidP="00150CFF">
      <w:pPr>
        <w:pStyle w:val="ListParagraph"/>
        <w:numPr>
          <w:ilvl w:val="0"/>
          <w:numId w:val="16"/>
        </w:numPr>
        <w:spacing w:line="288" w:lineRule="auto"/>
        <w:jc w:val="both"/>
      </w:pPr>
      <w:r>
        <w:t>Land options</w:t>
      </w:r>
      <w:r w:rsidR="00150CFF">
        <w:t xml:space="preserve"> – </w:t>
      </w:r>
    </w:p>
    <w:p w14:paraId="16FC4C7C" w14:textId="02CCB2BB" w:rsidR="00D838FB" w:rsidRDefault="00D838FB" w:rsidP="004B6B50">
      <w:pPr>
        <w:pStyle w:val="ListParagraph"/>
        <w:numPr>
          <w:ilvl w:val="0"/>
          <w:numId w:val="21"/>
        </w:numPr>
        <w:spacing w:line="288" w:lineRule="auto"/>
        <w:jc w:val="both"/>
      </w:pPr>
      <w:r w:rsidRPr="00D838FB">
        <w:t>Land Option - Lot 4162 Midland Highway, Bagshot VIC 3551</w:t>
      </w:r>
    </w:p>
    <w:p w14:paraId="766D38C9" w14:textId="7A5555F6" w:rsidR="00D838FB" w:rsidRDefault="00D838FB" w:rsidP="004B6B50">
      <w:pPr>
        <w:pStyle w:val="ListParagraph"/>
        <w:spacing w:line="288" w:lineRule="auto"/>
        <w:ind w:left="1800"/>
        <w:jc w:val="both"/>
      </w:pPr>
      <w:r>
        <w:t xml:space="preserve">Value </w:t>
      </w:r>
      <w:proofErr w:type="gramStart"/>
      <w:r>
        <w:t>at</w:t>
      </w:r>
      <w:proofErr w:type="gramEnd"/>
      <w:r>
        <w:t xml:space="preserve"> 30 June 20</w:t>
      </w:r>
      <w:r w:rsidR="003E6B1F">
        <w:t>20</w:t>
      </w:r>
      <w:r>
        <w:t xml:space="preserve"> - Nil</w:t>
      </w:r>
    </w:p>
    <w:p w14:paraId="2EAF784B" w14:textId="77777777" w:rsidR="00D838FB" w:rsidRDefault="00D838FB" w:rsidP="00D838FB">
      <w:pPr>
        <w:pStyle w:val="ListParagraph"/>
        <w:spacing w:line="288" w:lineRule="auto"/>
        <w:ind w:left="1440"/>
        <w:jc w:val="both"/>
      </w:pPr>
    </w:p>
    <w:p w14:paraId="7C34BEA0" w14:textId="6913F08D" w:rsidR="00D838FB" w:rsidRDefault="00D838FB" w:rsidP="004B6B50">
      <w:pPr>
        <w:pStyle w:val="ListParagraph"/>
        <w:numPr>
          <w:ilvl w:val="0"/>
          <w:numId w:val="21"/>
        </w:numPr>
        <w:spacing w:line="288" w:lineRule="auto"/>
        <w:jc w:val="both"/>
      </w:pPr>
      <w:r w:rsidRPr="00D838FB">
        <w:t>Lot 55 - 99 Palmers Road, Truganina VIC 3029</w:t>
      </w:r>
    </w:p>
    <w:p w14:paraId="7A3D085F" w14:textId="7C1986CD" w:rsidR="00D838FB" w:rsidRDefault="00D838FB" w:rsidP="004B6B50">
      <w:pPr>
        <w:pStyle w:val="ListParagraph"/>
        <w:spacing w:line="288" w:lineRule="auto"/>
        <w:ind w:left="1800"/>
        <w:jc w:val="both"/>
      </w:pPr>
      <w:r>
        <w:t xml:space="preserve">Value </w:t>
      </w:r>
      <w:proofErr w:type="gramStart"/>
      <w:r>
        <w:t>at</w:t>
      </w:r>
      <w:proofErr w:type="gramEnd"/>
      <w:r>
        <w:t xml:space="preserve"> 30 June 20</w:t>
      </w:r>
      <w:r w:rsidR="003E6B1F">
        <w:t>20</w:t>
      </w:r>
      <w:r>
        <w:t xml:space="preserve"> - Nil</w:t>
      </w:r>
    </w:p>
    <w:p w14:paraId="586372EE" w14:textId="77777777" w:rsidR="00D838FB" w:rsidRDefault="00D838FB" w:rsidP="00D838FB">
      <w:pPr>
        <w:pStyle w:val="ListParagraph"/>
        <w:spacing w:line="288" w:lineRule="auto"/>
        <w:ind w:left="1440"/>
        <w:jc w:val="both"/>
      </w:pPr>
    </w:p>
    <w:p w14:paraId="3024D797" w14:textId="77777777" w:rsidR="004E7C8B" w:rsidRPr="00F370F7" w:rsidRDefault="004E7C8B" w:rsidP="00036FB0">
      <w:pPr>
        <w:spacing w:after="0" w:line="288" w:lineRule="auto"/>
        <w:jc w:val="both"/>
      </w:pPr>
    </w:p>
    <w:p w14:paraId="106F7C72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In determining the current market value of real estate held by the fund the trustee's have reviewed the following factors:</w:t>
      </w:r>
    </w:p>
    <w:p w14:paraId="2005EAEC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1E121A7B" w14:textId="548877C5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 xml:space="preserve">The value of similar </w:t>
      </w:r>
      <w:r w:rsidR="00D838FB">
        <w:rPr>
          <w:rFonts w:cs="Arial"/>
        </w:rPr>
        <w:t xml:space="preserve">assets </w:t>
      </w:r>
      <w:r>
        <w:rPr>
          <w:rFonts w:cs="Arial"/>
        </w:rPr>
        <w:t>as listed by various agencies</w:t>
      </w:r>
    </w:p>
    <w:p w14:paraId="378EA3BF" w14:textId="10A336B6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 xml:space="preserve">The amount paid for similar </w:t>
      </w:r>
      <w:r w:rsidR="00D838FB">
        <w:rPr>
          <w:rFonts w:cs="Arial"/>
        </w:rPr>
        <w:t>assets</w:t>
      </w:r>
      <w:r w:rsidRPr="00E4683F">
        <w:rPr>
          <w:rFonts w:cs="Arial"/>
        </w:rPr>
        <w:t xml:space="preserve"> in an arm's length market</w:t>
      </w:r>
      <w:r>
        <w:rPr>
          <w:rFonts w:cs="Arial"/>
        </w:rPr>
        <w:t xml:space="preserve"> as listed by various agencies</w:t>
      </w:r>
    </w:p>
    <w:p w14:paraId="762C9FAA" w14:textId="0BDB804F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 xml:space="preserve">Improvements made to the </w:t>
      </w:r>
      <w:r w:rsidR="00D838FB">
        <w:rPr>
          <w:rFonts w:cs="Arial"/>
        </w:rPr>
        <w:t>assets</w:t>
      </w:r>
      <w:r w:rsidRPr="00E4683F">
        <w:rPr>
          <w:rFonts w:cs="Arial"/>
        </w:rPr>
        <w:t xml:space="preserve"> since the initial purchase</w:t>
      </w:r>
    </w:p>
    <w:p w14:paraId="28F62F53" w14:textId="7ED61A81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Net income yields</w:t>
      </w:r>
      <w:r>
        <w:rPr>
          <w:rFonts w:cs="Arial"/>
        </w:rPr>
        <w:t xml:space="preserve"> currently received</w:t>
      </w:r>
    </w:p>
    <w:p w14:paraId="078252A8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2DA99FCB" w14:textId="51EEEF5F" w:rsidR="00E4683F" w:rsidRPr="00996FA4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The trustee's have in good faith determined a market </w:t>
      </w:r>
      <w:r w:rsidRPr="00996FA4">
        <w:rPr>
          <w:rFonts w:cs="Arial"/>
        </w:rPr>
        <w:t xml:space="preserve">value for the </w:t>
      </w:r>
      <w:r w:rsidR="00D838FB">
        <w:rPr>
          <w:rFonts w:cs="Arial"/>
        </w:rPr>
        <w:t>above-mentioned</w:t>
      </w:r>
      <w:r w:rsidR="004E7C8B">
        <w:rPr>
          <w:rFonts w:cs="Arial"/>
        </w:rPr>
        <w:t xml:space="preserve"> </w:t>
      </w:r>
      <w:r w:rsidRPr="00996FA4">
        <w:rPr>
          <w:rFonts w:cs="Arial"/>
        </w:rPr>
        <w:t>as</w:t>
      </w:r>
      <w:r w:rsidR="004E7C8B">
        <w:rPr>
          <w:rFonts w:cs="Arial"/>
        </w:rPr>
        <w:t>sets currently held by the fund.</w:t>
      </w:r>
    </w:p>
    <w:p w14:paraId="11385326" w14:textId="77777777" w:rsidR="00F83C29" w:rsidRPr="00E4683F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14:paraId="38DA8311" w14:textId="77777777" w:rsidR="00F83C29" w:rsidRPr="008F0C0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14:paraId="31E2E7BD" w14:textId="77777777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68E0F8DA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19B7B012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6EA5318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6828E2B" w14:textId="6D69E521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128805F9" w14:textId="77777777" w:rsidR="00D838FB" w:rsidRPr="00650386" w:rsidRDefault="00D838FB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6994E847" w14:textId="77777777" w:rsidR="00F83C29" w:rsidRPr="00D838FB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D838FB">
        <w:rPr>
          <w:rFonts w:cs="Arial"/>
          <w:bCs/>
        </w:rPr>
        <w:t>...................................................</w:t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  <w:t>...................................................</w:t>
      </w:r>
    </w:p>
    <w:p w14:paraId="109FD1C6" w14:textId="4AAD1776" w:rsidR="00F83C29" w:rsidRPr="00D838FB" w:rsidRDefault="00D838FB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D838FB">
        <w:rPr>
          <w:rFonts w:cs="Arial"/>
          <w:bCs/>
        </w:rPr>
        <w:t>Aaron Casey</w:t>
      </w:r>
      <w:r w:rsidR="00CA3AD5" w:rsidRPr="00D838FB">
        <w:rPr>
          <w:rFonts w:cs="Arial"/>
          <w:bCs/>
        </w:rPr>
        <w:tab/>
      </w:r>
      <w:r w:rsidR="00CA3AD5" w:rsidRPr="00D838FB">
        <w:rPr>
          <w:rFonts w:cs="Arial"/>
          <w:bCs/>
        </w:rPr>
        <w:tab/>
      </w:r>
      <w:r w:rsidR="00CA3AD5" w:rsidRPr="00D838FB">
        <w:rPr>
          <w:rFonts w:cs="Arial"/>
          <w:bCs/>
        </w:rPr>
        <w:tab/>
      </w:r>
      <w:r w:rsidR="00CA3AD5" w:rsidRPr="00D838FB">
        <w:rPr>
          <w:rFonts w:cs="Arial"/>
          <w:bCs/>
        </w:rPr>
        <w:tab/>
      </w:r>
      <w:r w:rsidR="004E7C8B"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  <w:t>Tracy Davidson</w:t>
      </w:r>
    </w:p>
    <w:p w14:paraId="5E3F5492" w14:textId="65D4D7DD" w:rsidR="00F83C29" w:rsidRPr="00D838FB" w:rsidRDefault="00CA3AD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D838FB">
        <w:rPr>
          <w:rFonts w:cs="Arial"/>
          <w:b/>
          <w:bCs/>
        </w:rPr>
        <w:t>Director</w:t>
      </w:r>
      <w:r w:rsidR="00D838FB" w:rsidRPr="00D838FB">
        <w:rPr>
          <w:rFonts w:cs="Arial"/>
          <w:b/>
          <w:bCs/>
        </w:rPr>
        <w:tab/>
      </w:r>
      <w:r w:rsidR="00F83C29" w:rsidRPr="00D838FB">
        <w:rPr>
          <w:rFonts w:cs="Arial"/>
          <w:b/>
          <w:bCs/>
        </w:rPr>
        <w:tab/>
      </w:r>
      <w:r w:rsidR="00F83C29" w:rsidRPr="00D838FB">
        <w:rPr>
          <w:rFonts w:cs="Arial"/>
          <w:b/>
          <w:bCs/>
        </w:rPr>
        <w:tab/>
      </w:r>
      <w:r w:rsidR="00F83C29" w:rsidRPr="00D838FB">
        <w:rPr>
          <w:rFonts w:cs="Arial"/>
          <w:b/>
          <w:bCs/>
        </w:rPr>
        <w:tab/>
      </w:r>
      <w:r w:rsidR="00F83C29" w:rsidRPr="00D838FB">
        <w:rPr>
          <w:rFonts w:cs="Arial"/>
          <w:b/>
          <w:bCs/>
        </w:rPr>
        <w:tab/>
      </w:r>
      <w:r w:rsidR="00F83C29" w:rsidRPr="00D838FB">
        <w:rPr>
          <w:rFonts w:cs="Arial"/>
          <w:b/>
          <w:bCs/>
        </w:rPr>
        <w:tab/>
      </w:r>
      <w:r w:rsidRPr="00D838FB">
        <w:rPr>
          <w:rFonts w:cs="Arial"/>
          <w:b/>
          <w:bCs/>
        </w:rPr>
        <w:t>Director</w:t>
      </w:r>
      <w:r w:rsidR="004E7C8B" w:rsidRPr="00D838FB">
        <w:rPr>
          <w:rFonts w:cs="Arial"/>
          <w:b/>
          <w:bCs/>
        </w:rPr>
        <w:t xml:space="preserve"> </w:t>
      </w:r>
    </w:p>
    <w:p w14:paraId="3E9C555B" w14:textId="77777777" w:rsidR="00036FB0" w:rsidRPr="00D838FB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0E83689E" w14:textId="77777777" w:rsidR="00036FB0" w:rsidRPr="00D838FB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R="00036FB0" w:rsidRPr="00D838FB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39B30B0E" w14:textId="77777777" w:rsidR="00D838FB" w:rsidRPr="00D838FB" w:rsidRDefault="00D838FB" w:rsidP="00D838F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</w:p>
    <w:p w14:paraId="2647CDCC" w14:textId="1D5DFCAC" w:rsidR="00D838FB" w:rsidRPr="00D838FB" w:rsidRDefault="00D838FB" w:rsidP="00D838F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D838FB">
        <w:rPr>
          <w:rFonts w:cs="Arial"/>
          <w:bCs/>
        </w:rPr>
        <w:t>...................................................</w:t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</w:p>
    <w:p w14:paraId="2BAEE28D" w14:textId="14BE2337" w:rsidR="00D838FB" w:rsidRPr="00D838FB" w:rsidRDefault="00D838FB" w:rsidP="00D838F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D838FB">
        <w:rPr>
          <w:rFonts w:cs="Arial"/>
          <w:bCs/>
        </w:rPr>
        <w:t>Marguerite Pocknell</w:t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  <w:r w:rsidRPr="00D838FB">
        <w:rPr>
          <w:rFonts w:cs="Arial"/>
          <w:bCs/>
        </w:rPr>
        <w:tab/>
      </w:r>
    </w:p>
    <w:p w14:paraId="62511FBB" w14:textId="6F361416" w:rsidR="00F83C29" w:rsidRPr="00650386" w:rsidRDefault="00D838FB" w:rsidP="00D838F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D838FB">
        <w:rPr>
          <w:rFonts w:cs="Arial"/>
          <w:b/>
          <w:bCs/>
        </w:rPr>
        <w:t>Director</w:t>
      </w:r>
      <w:r>
        <w:rPr>
          <w:rFonts w:cs="Arial"/>
          <w:b/>
          <w:bCs/>
        </w:rPr>
        <w:tab/>
      </w:r>
    </w:p>
    <w:sectPr w:rsidR="00F83C29" w:rsidRPr="00650386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963EA"/>
    <w:multiLevelType w:val="hybridMultilevel"/>
    <w:tmpl w:val="594ACE5A"/>
    <w:lvl w:ilvl="0" w:tplc="7F8EFF8C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AC79F8"/>
    <w:multiLevelType w:val="hybridMultilevel"/>
    <w:tmpl w:val="2618C2B2"/>
    <w:lvl w:ilvl="0" w:tplc="AE04838C">
      <w:start w:val="2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91522ED"/>
    <w:multiLevelType w:val="hybridMultilevel"/>
    <w:tmpl w:val="A5342EAC"/>
    <w:lvl w:ilvl="0" w:tplc="2770718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717B52"/>
    <w:multiLevelType w:val="hybridMultilevel"/>
    <w:tmpl w:val="9F32E43A"/>
    <w:lvl w:ilvl="0" w:tplc="EC46F4D8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6C2D"/>
    <w:multiLevelType w:val="hybridMultilevel"/>
    <w:tmpl w:val="8704039C"/>
    <w:lvl w:ilvl="0" w:tplc="0C09001B">
      <w:start w:val="1"/>
      <w:numFmt w:val="lowerRoman"/>
      <w:lvlText w:val="%1."/>
      <w:lvlJc w:val="righ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6E0D70"/>
    <w:multiLevelType w:val="hybridMultilevel"/>
    <w:tmpl w:val="0F2A3944"/>
    <w:lvl w:ilvl="0" w:tplc="6EEA7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954035"/>
    <w:multiLevelType w:val="hybridMultilevel"/>
    <w:tmpl w:val="A5342EAC"/>
    <w:lvl w:ilvl="0" w:tplc="2770718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6"/>
  </w:num>
  <w:num w:numId="4">
    <w:abstractNumId w:val="2"/>
  </w:num>
  <w:num w:numId="5">
    <w:abstractNumId w:val="17"/>
  </w:num>
  <w:num w:numId="6">
    <w:abstractNumId w:val="9"/>
  </w:num>
  <w:num w:numId="7">
    <w:abstractNumId w:val="19"/>
  </w:num>
  <w:num w:numId="8">
    <w:abstractNumId w:val="5"/>
  </w:num>
  <w:num w:numId="9">
    <w:abstractNumId w:val="8"/>
  </w:num>
  <w:num w:numId="10">
    <w:abstractNumId w:val="13"/>
  </w:num>
  <w:num w:numId="11">
    <w:abstractNumId w:val="18"/>
  </w:num>
  <w:num w:numId="12">
    <w:abstractNumId w:val="11"/>
  </w:num>
  <w:num w:numId="13">
    <w:abstractNumId w:val="14"/>
  </w:num>
  <w:num w:numId="14">
    <w:abstractNumId w:val="0"/>
  </w:num>
  <w:num w:numId="15">
    <w:abstractNumId w:val="4"/>
  </w:num>
  <w:num w:numId="16">
    <w:abstractNumId w:val="15"/>
  </w:num>
  <w:num w:numId="17">
    <w:abstractNumId w:val="3"/>
  </w:num>
  <w:num w:numId="18">
    <w:abstractNumId w:val="12"/>
  </w:num>
  <w:num w:numId="19">
    <w:abstractNumId w:val="7"/>
  </w:num>
  <w:num w:numId="20">
    <w:abstractNumId w:val="10"/>
  </w:num>
  <w:num w:numId="21">
    <w:abstractNumId w:val="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50CFF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01D"/>
    <w:rsid w:val="003B5AE8"/>
    <w:rsid w:val="003C28CF"/>
    <w:rsid w:val="003C4174"/>
    <w:rsid w:val="003C43D2"/>
    <w:rsid w:val="003D1A5D"/>
    <w:rsid w:val="003D738C"/>
    <w:rsid w:val="003E115B"/>
    <w:rsid w:val="003E31CF"/>
    <w:rsid w:val="003E6B1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6B50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143DB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38FB"/>
    <w:rsid w:val="00D84408"/>
    <w:rsid w:val="00D870AC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8E17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Munya Phiri</cp:lastModifiedBy>
  <cp:revision>9</cp:revision>
  <cp:lastPrinted>2014-05-05T04:08:00Z</cp:lastPrinted>
  <dcterms:created xsi:type="dcterms:W3CDTF">2017-06-27T02:28:00Z</dcterms:created>
  <dcterms:modified xsi:type="dcterms:W3CDTF">2021-08-26T05:13:00Z</dcterms:modified>
</cp:coreProperties>
</file>