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C2CE" w14:textId="69E89124" w:rsidR="0047604A" w:rsidRPr="003204BD" w:rsidRDefault="00377CED" w:rsidP="0047604A">
      <w:pPr>
        <w:spacing w:before="760" w:after="240" w:line="240" w:lineRule="auto"/>
        <w:rPr>
          <w:rFonts w:ascii="Calibri" w:eastAsia="Times New Roman" w:hAnsi="Calibri" w:cs="Times New Roman"/>
        </w:rPr>
      </w:pPr>
      <w:r>
        <w:rPr>
          <w:rFonts w:ascii="Calibri" w:eastAsia="Times New Roman" w:hAnsi="Calibri" w:cs="Times New Roman"/>
        </w:rPr>
        <w:t>M R M Marsh Superannuation Fund</w:t>
      </w:r>
    </w:p>
    <w:p w14:paraId="00B435FA"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Trustees</w:t>
      </w:r>
    </w:p>
    <w:p w14:paraId="1C8762D5" w14:textId="6019702D" w:rsidR="0047604A" w:rsidRPr="00377CED" w:rsidRDefault="00377CED" w:rsidP="0047604A">
      <w:pPr>
        <w:spacing w:after="0" w:line="240" w:lineRule="auto"/>
        <w:jc w:val="center"/>
        <w:rPr>
          <w:rFonts w:ascii="Calibri" w:eastAsia="Times New Roman" w:hAnsi="Calibri" w:cs="Times New Roman"/>
          <w:b/>
          <w:bCs/>
          <w:lang w:val="en-AU"/>
        </w:rPr>
      </w:pPr>
      <w:r w:rsidRPr="00377CED">
        <w:rPr>
          <w:rFonts w:ascii="Calibri" w:eastAsia="Times New Roman" w:hAnsi="Calibri" w:cs="Times New Roman"/>
          <w:b/>
          <w:bCs/>
          <w:lang w:val="en-AU"/>
        </w:rPr>
        <w:t>M R M Marsh Superannuation Fund</w:t>
      </w:r>
    </w:p>
    <w:p w14:paraId="10E742E6" w14:textId="77777777"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12FE3568"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3D538952" w14:textId="33013E7E"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You have requested that we audit the financial statements of the SMSF for the year ended 30 June </w:t>
      </w:r>
      <w:r w:rsidR="00C415DC">
        <w:rPr>
          <w:rFonts w:ascii="Calibri" w:eastAsia="Times New Roman" w:hAnsi="Calibri" w:cs="Times New Roman"/>
          <w:lang w:val="en-AU"/>
        </w:rPr>
        <w:t>20</w:t>
      </w:r>
      <w:r w:rsidR="00377CED">
        <w:rPr>
          <w:rFonts w:ascii="Calibri" w:eastAsia="Times New Roman" w:hAnsi="Calibri" w:cs="Times New Roman"/>
          <w:lang w:val="en-AU"/>
        </w:rPr>
        <w:t>22</w:t>
      </w:r>
      <w:r w:rsidRPr="003204BD">
        <w:rPr>
          <w:rFonts w:ascii="Calibri" w:eastAsia="Times New Roman" w:hAnsi="Calibri" w:cs="Times New Roman"/>
          <w:lang w:val="en-AU"/>
        </w:rPr>
        <w:t>. We are pleased to confirm our acceptance and understanding of this engagement by means of this letter.</w:t>
      </w:r>
    </w:p>
    <w:p w14:paraId="48C7E94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84CA90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6FFD246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D6B038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D72FFD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6FCD1AD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2A8AA3C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23B92F9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26416E4"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24CEEA8B"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31089570"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To provide us with:</w:t>
      </w:r>
    </w:p>
    <w:p w14:paraId="3159B358"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5941FFA6" w14:textId="77777777" w:rsidR="0047604A" w:rsidRPr="003204BD" w:rsidRDefault="0047604A" w:rsidP="0047604A">
      <w:pPr>
        <w:spacing w:after="60" w:line="240" w:lineRule="auto"/>
        <w:ind w:left="709"/>
        <w:jc w:val="both"/>
        <w:rPr>
          <w:rFonts w:ascii="Calibri" w:eastAsia="Times New Roman" w:hAnsi="Calibri" w:cs="Times New Roman"/>
          <w:szCs w:val="20"/>
        </w:rPr>
      </w:pPr>
    </w:p>
    <w:p w14:paraId="53F9647C" w14:textId="77777777" w:rsidR="0047604A" w:rsidRPr="003204BD" w:rsidRDefault="0047604A" w:rsidP="0047604A">
      <w:pPr>
        <w:spacing w:after="60" w:line="240" w:lineRule="auto"/>
        <w:ind w:left="360" w:hanging="360"/>
        <w:jc w:val="both"/>
        <w:rPr>
          <w:rFonts w:ascii="Calibri" w:eastAsia="Times New Roman" w:hAnsi="Calibri" w:cs="Times New Roman"/>
          <w:szCs w:val="20"/>
        </w:rPr>
      </w:pPr>
    </w:p>
    <w:p w14:paraId="2190D971" w14:textId="77777777"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14:paraId="4CF28936"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0F86A932"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3C15AF1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26E9F91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7905BFF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6CA36EE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54E28908" w14:textId="5F9B9D38"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C415DC">
        <w:rPr>
          <w:rFonts w:ascii="Calibri" w:eastAsia="Times New Roman" w:hAnsi="Calibri" w:cs="Times New Roman"/>
          <w:lang w:val="en-AU"/>
        </w:rPr>
        <w:t>20</w:t>
      </w:r>
      <w:r w:rsidR="00377CED">
        <w:rPr>
          <w:rFonts w:ascii="Calibri" w:eastAsia="Times New Roman" w:hAnsi="Calibri" w:cs="Times New Roman"/>
          <w:lang w:val="en-AU"/>
        </w:rPr>
        <w:t>22</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11AFCE27"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w:t>
      </w:r>
      <w:proofErr w:type="gramStart"/>
      <w:r w:rsidRPr="003204BD">
        <w:rPr>
          <w:rFonts w:ascii="Calibri" w:eastAsia="Times New Roman" w:hAnsi="Calibri" w:cs="Times New Roman"/>
          <w:lang w:val="en-AU"/>
        </w:rPr>
        <w:t>C(</w:t>
      </w:r>
      <w:proofErr w:type="gramEnd"/>
      <w:r w:rsidRPr="003204BD">
        <w:rPr>
          <w:rFonts w:ascii="Calibri" w:eastAsia="Times New Roman" w:hAnsi="Calibri" w:cs="Times New Roman"/>
          <w:lang w:val="en-AU"/>
        </w:rPr>
        <w:t>2), 52, 62, 65, 66, 67, 67A, 67B, 82-85, 103, 104, 104A, 105, 109, 126K</w:t>
      </w:r>
    </w:p>
    <w:p w14:paraId="20846445"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1207641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4097829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Under section 129 of the SISA we are required to report to you in writing. If during the course of, or in connection with, our audit, we become aware of any contravention of the Act or Regulations which we believe has occurred, is occurring or may occur.</w:t>
      </w:r>
    </w:p>
    <w:p w14:paraId="0F7A02E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56CEDB5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58C0AC7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2A5E6C3"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In addition to our report on the financial statements, we will also report to you any material weaknesses in the fund’s system of accounting and internal control which come to our notice during the course of our audit</w:t>
      </w:r>
      <w:r w:rsidRPr="003204BD">
        <w:rPr>
          <w:rFonts w:ascii="Calibri" w:eastAsia="Times New Roman" w:hAnsi="Calibri" w:cs="Times New Roman"/>
          <w:b/>
          <w:lang w:val="en-AU"/>
        </w:rPr>
        <w:t xml:space="preserve">. </w:t>
      </w:r>
    </w:p>
    <w:p w14:paraId="6192BF3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5BFD031"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3AA2CEC1"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2DF9F74A" w14:textId="77777777" w:rsidTr="00443826">
        <w:trPr>
          <w:cantSplit/>
        </w:trPr>
        <w:tc>
          <w:tcPr>
            <w:tcW w:w="4300" w:type="dxa"/>
          </w:tcPr>
          <w:p w14:paraId="12E28B9F" w14:textId="77777777" w:rsidR="0047604A" w:rsidRPr="003204BD" w:rsidRDefault="0047604A" w:rsidP="00443826">
            <w:pPr>
              <w:spacing w:after="0" w:line="240" w:lineRule="auto"/>
              <w:rPr>
                <w:rFonts w:ascii="Calibri" w:eastAsia="Times New Roman" w:hAnsi="Calibri" w:cs="Times New Roman"/>
                <w:szCs w:val="24"/>
                <w:lang w:val="en-AU" w:eastAsia="en-AU"/>
              </w:rPr>
            </w:pPr>
          </w:p>
        </w:tc>
        <w:tc>
          <w:tcPr>
            <w:tcW w:w="3565" w:type="dxa"/>
          </w:tcPr>
          <w:p w14:paraId="18130D82" w14:textId="77777777" w:rsidR="0047604A" w:rsidRPr="003204BD" w:rsidRDefault="0047604A" w:rsidP="00443826">
            <w:pPr>
              <w:keepNext/>
              <w:keepLines/>
              <w:spacing w:before="120" w:after="120" w:line="240" w:lineRule="auto"/>
              <w:jc w:val="both"/>
              <w:rPr>
                <w:rFonts w:ascii="Calibri" w:eastAsia="Times New Roman" w:hAnsi="Calibri" w:cs="Times New Roman"/>
                <w:b/>
                <w:lang w:val="en-AU"/>
              </w:rPr>
            </w:pPr>
          </w:p>
        </w:tc>
      </w:tr>
      <w:tr w:rsidR="0047604A" w:rsidRPr="003204BD" w14:paraId="10708C4B" w14:textId="77777777" w:rsidTr="00443826">
        <w:trPr>
          <w:cantSplit/>
        </w:trPr>
        <w:tc>
          <w:tcPr>
            <w:tcW w:w="4300" w:type="dxa"/>
          </w:tcPr>
          <w:p w14:paraId="69909B29"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6B9D6675"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14:paraId="06DD08F4" w14:textId="77777777" w:rsidTr="00443826">
        <w:trPr>
          <w:cantSplit/>
        </w:trPr>
        <w:tc>
          <w:tcPr>
            <w:tcW w:w="4300" w:type="dxa"/>
          </w:tcPr>
          <w:p w14:paraId="48C2E167"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774E032F"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bl>
    <w:p w14:paraId="68AD3B40"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p>
    <w:p w14:paraId="58C6F272"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files may, however, be subject to review as part of the quality control review program of Regulators and or Professional Bodies which monitors compliance with professional standards by its members.</w:t>
      </w:r>
    </w:p>
    <w:p w14:paraId="634FE457"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0AF7D12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601F55B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2D289FE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A8A566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7820805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11E8267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use data storage located in the office but it may be replicated to other locations.</w:t>
      </w:r>
    </w:p>
    <w:p w14:paraId="121807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3EE1F84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7DFDA1A9"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062FDE9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757BD7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2AFC634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2F7A407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you have any queries in relation to this please contact me.</w:t>
      </w:r>
    </w:p>
    <w:p w14:paraId="0006DCC3"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224FD0A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6B053A4A" w14:textId="42BC5A53"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and on behalf of </w:t>
      </w:r>
      <w:r w:rsidR="00377CED">
        <w:rPr>
          <w:rFonts w:ascii="Calibri" w:eastAsia="Times New Roman" w:hAnsi="Calibri" w:cs="Times New Roman"/>
          <w:lang w:val="en-AU"/>
        </w:rPr>
        <w:t>M R M Marsh Superannuation Fund</w:t>
      </w:r>
      <w:r w:rsidRPr="003204BD">
        <w:rPr>
          <w:rFonts w:ascii="Calibri" w:eastAsia="Times New Roman" w:hAnsi="Calibri" w:cs="Times New Roman"/>
          <w:lang w:val="en-AU"/>
        </w:rPr>
        <w:t xml:space="preserve"> as trustee for the </w:t>
      </w:r>
      <w:r w:rsidR="00377CED">
        <w:rPr>
          <w:rFonts w:ascii="Calibri" w:eastAsia="Times New Roman" w:hAnsi="Calibri" w:cs="Times New Roman"/>
          <w:lang w:val="en-AU"/>
        </w:rPr>
        <w:t>M R M Marsh Superannuation Fund</w:t>
      </w:r>
    </w:p>
    <w:tbl>
      <w:tblPr>
        <w:tblW w:w="0" w:type="auto"/>
        <w:tblLayout w:type="fixed"/>
        <w:tblLook w:val="01E0" w:firstRow="1" w:lastRow="1" w:firstColumn="1" w:lastColumn="1" w:noHBand="0" w:noVBand="0"/>
      </w:tblPr>
      <w:tblGrid>
        <w:gridCol w:w="1319"/>
        <w:gridCol w:w="5310"/>
      </w:tblGrid>
      <w:tr w:rsidR="0047604A" w:rsidRPr="003204BD" w14:paraId="5028D829" w14:textId="77777777" w:rsidTr="00443826">
        <w:trPr>
          <w:trHeight w:val="365"/>
        </w:trPr>
        <w:tc>
          <w:tcPr>
            <w:tcW w:w="1319" w:type="dxa"/>
            <w:tcBorders>
              <w:top w:val="nil"/>
              <w:left w:val="nil"/>
              <w:right w:val="nil"/>
            </w:tcBorders>
            <w:vAlign w:val="bottom"/>
          </w:tcPr>
          <w:p w14:paraId="429A0E43" w14:textId="77777777" w:rsidR="0047604A" w:rsidRPr="003204BD" w:rsidRDefault="0047604A" w:rsidP="00443826">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 xml:space="preserve">Signed &amp; </w:t>
            </w:r>
            <w:proofErr w:type="gramStart"/>
            <w:r w:rsidRPr="003204BD">
              <w:rPr>
                <w:rFonts w:ascii="Calibri" w:eastAsia="Times New Roman" w:hAnsi="Calibri" w:cs="Times New Roman"/>
                <w:b/>
                <w:szCs w:val="24"/>
                <w:u w:val="single"/>
                <w:lang w:val="en-AU"/>
              </w:rPr>
              <w:t>Dated</w:t>
            </w:r>
            <w:proofErr w:type="gramEnd"/>
          </w:p>
        </w:tc>
        <w:tc>
          <w:tcPr>
            <w:tcW w:w="5310" w:type="dxa"/>
            <w:tcBorders>
              <w:top w:val="nil"/>
              <w:left w:val="nil"/>
              <w:bottom w:val="single" w:sz="4" w:space="0" w:color="auto"/>
              <w:right w:val="nil"/>
            </w:tcBorders>
            <w:vAlign w:val="bottom"/>
          </w:tcPr>
          <w:p w14:paraId="2B21F10A" w14:textId="77777777" w:rsidR="0047604A" w:rsidRPr="003204BD" w:rsidRDefault="0047604A" w:rsidP="00443826">
            <w:pPr>
              <w:spacing w:before="40" w:after="40" w:line="240" w:lineRule="auto"/>
              <w:rPr>
                <w:rFonts w:ascii="Calibri" w:eastAsia="Times New Roman" w:hAnsi="Calibri" w:cs="Times New Roman"/>
                <w:szCs w:val="24"/>
                <w:lang w:val="en-AU"/>
              </w:rPr>
            </w:pPr>
          </w:p>
        </w:tc>
      </w:tr>
    </w:tbl>
    <w:p w14:paraId="49F97A54" w14:textId="77777777" w:rsidR="0047604A" w:rsidRPr="003204BD" w:rsidRDefault="0047604A" w:rsidP="0047604A">
      <w:pPr>
        <w:spacing w:after="0" w:line="240" w:lineRule="auto"/>
        <w:rPr>
          <w:rFonts w:ascii="Calibri" w:eastAsia="Times New Roman" w:hAnsi="Calibri" w:cs="Times New Roman"/>
        </w:rPr>
      </w:pPr>
    </w:p>
    <w:p w14:paraId="02D6D5C4" w14:textId="77777777" w:rsidR="0047604A" w:rsidRPr="003204BD" w:rsidRDefault="0047604A" w:rsidP="0047604A">
      <w:pPr>
        <w:spacing w:after="0" w:line="240" w:lineRule="auto"/>
        <w:rPr>
          <w:rFonts w:ascii="Calibri" w:eastAsia="Times New Roman" w:hAnsi="Calibri" w:cs="Times New Roman"/>
        </w:rPr>
      </w:pPr>
    </w:p>
    <w:p w14:paraId="06D36D3D"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03BFE59B" w14:textId="77777777" w:rsidR="00DB4211" w:rsidRDefault="00DB4211" w:rsidP="0047604A">
      <w:pPr>
        <w:spacing w:after="0" w:line="240" w:lineRule="auto"/>
        <w:rPr>
          <w:rFonts w:ascii="Calibri" w:eastAsia="Times New Roman" w:hAnsi="Calibri" w:cs="Times New Roman"/>
          <w:szCs w:val="24"/>
          <w:lang w:val="en-AU" w:eastAsia="en-AU"/>
        </w:rPr>
      </w:pPr>
    </w:p>
    <w:p w14:paraId="73D813EB" w14:textId="77777777" w:rsidR="00DB4211" w:rsidRDefault="00DB4211" w:rsidP="0047604A">
      <w:pPr>
        <w:spacing w:after="0" w:line="240" w:lineRule="auto"/>
        <w:rPr>
          <w:rFonts w:ascii="Calibri" w:eastAsia="Times New Roman" w:hAnsi="Calibri" w:cs="Times New Roman"/>
          <w:szCs w:val="24"/>
          <w:lang w:val="en-AU" w:eastAsia="en-AU"/>
        </w:rPr>
      </w:pPr>
    </w:p>
    <w:p w14:paraId="43810972" w14:textId="77777777" w:rsidR="00DB4211" w:rsidRDefault="00DB4211" w:rsidP="0047604A">
      <w:pPr>
        <w:spacing w:after="0" w:line="240" w:lineRule="auto"/>
        <w:rPr>
          <w:rFonts w:ascii="Calibri" w:eastAsia="Times New Roman" w:hAnsi="Calibri" w:cs="Times New Roman"/>
          <w:szCs w:val="24"/>
          <w:lang w:val="en-AU" w:eastAsia="en-AU"/>
        </w:rPr>
      </w:pPr>
    </w:p>
    <w:p w14:paraId="78127701" w14:textId="77777777"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776C5AE2" w14:textId="77777777" w:rsidR="0047604A" w:rsidRPr="00BB0EEC" w:rsidRDefault="0047604A" w:rsidP="0047604A">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sectPr w:rsidR="0047604A" w:rsidRPr="00BB0EEC" w:rsidSect="005F14AE">
      <w:headerReference w:type="default" r:id="rId7"/>
      <w:footerReference w:type="default" r:id="rId8"/>
      <w:headerReference w:type="first" r:id="rId9"/>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EDB1" w14:textId="77777777" w:rsidR="00232F5D" w:rsidRDefault="00232F5D">
      <w:pPr>
        <w:spacing w:after="0" w:line="240" w:lineRule="auto"/>
      </w:pPr>
      <w:r>
        <w:separator/>
      </w:r>
    </w:p>
  </w:endnote>
  <w:endnote w:type="continuationSeparator" w:id="0">
    <w:p w14:paraId="722C2896" w14:textId="77777777" w:rsidR="00232F5D" w:rsidRDefault="0023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D2CE" w14:textId="77777777"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F14AE">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8D97" w14:textId="77777777" w:rsidR="00232F5D" w:rsidRDefault="00232F5D">
      <w:pPr>
        <w:spacing w:after="0" w:line="240" w:lineRule="auto"/>
      </w:pPr>
      <w:r>
        <w:separator/>
      </w:r>
    </w:p>
  </w:footnote>
  <w:footnote w:type="continuationSeparator" w:id="0">
    <w:p w14:paraId="063CDB62" w14:textId="77777777" w:rsidR="00232F5D" w:rsidRDefault="00232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DC25" w14:textId="77777777" w:rsidR="004D46F8" w:rsidRPr="009F1665" w:rsidRDefault="00377CED" w:rsidP="009F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DE06" w14:textId="77777777" w:rsidR="004C7E57" w:rsidRPr="00493060" w:rsidRDefault="00377CED" w:rsidP="004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799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4A"/>
    <w:rsid w:val="00232F5D"/>
    <w:rsid w:val="00377CED"/>
    <w:rsid w:val="0047604A"/>
    <w:rsid w:val="005F14AE"/>
    <w:rsid w:val="00BA147F"/>
    <w:rsid w:val="00BA47E1"/>
    <w:rsid w:val="00C415DC"/>
    <w:rsid w:val="00D52B96"/>
    <w:rsid w:val="00DB4211"/>
    <w:rsid w:val="00DB5EC3"/>
    <w:rsid w:val="00DF032A"/>
    <w:rsid w:val="00E20146"/>
    <w:rsid w:val="00E53803"/>
    <w:rsid w:val="00F34A09"/>
    <w:rsid w:val="00F559F1"/>
    <w:rsid w:val="00FA0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01C"/>
  <w15:docId w15:val="{9C586AF3-81B1-4536-88F0-CB5B78AD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 w:type="paragraph" w:styleId="BalloonText">
    <w:name w:val="Balloon Text"/>
    <w:basedOn w:val="Normal"/>
    <w:link w:val="BalloonTextChar"/>
    <w:uiPriority w:val="99"/>
    <w:semiHidden/>
    <w:unhideWhenUsed/>
    <w:rsid w:val="00BA1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Warwick Nicholls</cp:lastModifiedBy>
  <cp:revision>2</cp:revision>
  <cp:lastPrinted>2023-05-31T07:47:00Z</cp:lastPrinted>
  <dcterms:created xsi:type="dcterms:W3CDTF">2023-05-31T07:48:00Z</dcterms:created>
  <dcterms:modified xsi:type="dcterms:W3CDTF">2023-05-31T07:48:00Z</dcterms:modified>
</cp:coreProperties>
</file>