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8968D1" w14:textId="77777777" w:rsidR="008878E5" w:rsidRPr="008878E5" w:rsidRDefault="008878E5">
      <w:pPr>
        <w:rPr>
          <w:sz w:val="10"/>
          <w:szCs w:val="10"/>
        </w:rPr>
      </w:pPr>
    </w:p>
    <w:tbl>
      <w:tblPr>
        <w:tblStyle w:val="TableGrid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00"/>
        <w:gridCol w:w="6548"/>
      </w:tblGrid>
      <w:tr w:rsidR="00630909" w14:paraId="3A9D3FC8" w14:textId="77777777" w:rsidTr="00CA485C">
        <w:tc>
          <w:tcPr>
            <w:tcW w:w="3800" w:type="dxa"/>
          </w:tcPr>
          <w:p w14:paraId="358707D9" w14:textId="77777777" w:rsidR="007A0DFE" w:rsidRDefault="007A0DFE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lef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14:paraId="1844D538" w14:textId="77777777" w:rsidR="00D3487E" w:rsidRPr="00720E16" w:rsidRDefault="004E2DDF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FINANCIAL STATEMENTS OF SUPERANNUATION FUND:</w:t>
            </w:r>
          </w:p>
        </w:tc>
        <w:tc>
          <w:tcPr>
            <w:tcW w:w="6548" w:type="dxa"/>
          </w:tcPr>
          <w:p w14:paraId="23B48077" w14:textId="77777777" w:rsidR="007A0DFE" w:rsidRDefault="007A0DFE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14:paraId="5EB114C5" w14:textId="5A034BF5" w:rsidR="00D3487E" w:rsidRPr="00464C29" w:rsidRDefault="004E2DDF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 was resolved that the financial statements would be prepared as special purpose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financial statements as, in the opinion of the </w:t>
            </w:r>
            <w:r w:rsidR="004973A5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Trustee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(s), the superannuation fund is a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non-reporting entity and therefore is not required to comply with all Australian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Accounting Standards.</w:t>
            </w:r>
          </w:p>
          <w:p w14:paraId="4A76A49B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14:paraId="44959C62" w14:textId="77777777" w:rsidR="00D3487E" w:rsidRPr="00464C29" w:rsidRDefault="004E2DDF" w:rsidP="007D1827">
            <w:pPr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The Chair tabled the financial statements and notes to the financial statements of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the superannuation fund in respect of the year ended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noProof/>
                <w:color w:val="000000"/>
                <w:sz w:val="18"/>
                <w:szCs w:val="18"/>
                <w:lang w:val="en-US"/>
              </w:rPr>
              <w:t>30 June 2020</w:t>
            </w:r>
            <w:r w:rsidR="000C7ADD">
              <w:rPr>
                <w:rFonts w:ascii="Helvetica" w:hAnsi="Helvetica"/>
                <w:noProof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and it was resolved that such statements be and are hereby adopted as tabled. </w:t>
            </w:r>
          </w:p>
        </w:tc>
      </w:tr>
      <w:tr w:rsidR="00630909" w14:paraId="6C45CAC9" w14:textId="77777777" w:rsidTr="00CA485C">
        <w:trPr>
          <w:trHeight w:val="42"/>
        </w:trPr>
        <w:tc>
          <w:tcPr>
            <w:tcW w:w="3800" w:type="dxa"/>
          </w:tcPr>
          <w:p w14:paraId="3DA4AFE0" w14:textId="77777777" w:rsidR="00D31689" w:rsidRPr="00720E16" w:rsidRDefault="004E2DDF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548" w:type="dxa"/>
          </w:tcPr>
          <w:p w14:paraId="71FC0481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630909" w14:paraId="260D5940" w14:textId="77777777" w:rsidTr="00CA485C">
        <w:tc>
          <w:tcPr>
            <w:tcW w:w="3800" w:type="dxa"/>
          </w:tcPr>
          <w:p w14:paraId="4C818006" w14:textId="77777777" w:rsidR="00D3487E" w:rsidRPr="00720E16" w:rsidRDefault="004E2DDF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TRUSTEE'S DECLARATION:</w:t>
            </w:r>
          </w:p>
        </w:tc>
        <w:tc>
          <w:tcPr>
            <w:tcW w:w="6548" w:type="dxa"/>
          </w:tcPr>
          <w:p w14:paraId="1F193B86" w14:textId="6769844D" w:rsidR="00D3487E" w:rsidRPr="00464C29" w:rsidRDefault="004E2DDF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It was resolved that the </w:t>
            </w:r>
            <w:r w:rsidR="004973A5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Trustee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’s declaration of the superannuation fund be signed.</w:t>
            </w:r>
          </w:p>
        </w:tc>
      </w:tr>
      <w:tr w:rsidR="00630909" w14:paraId="1A211BA5" w14:textId="77777777" w:rsidTr="00CA485C">
        <w:tc>
          <w:tcPr>
            <w:tcW w:w="3800" w:type="dxa"/>
          </w:tcPr>
          <w:p w14:paraId="6925B05C" w14:textId="77777777" w:rsidR="00D31689" w:rsidRPr="00720E16" w:rsidRDefault="004E2DDF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8"/>
                <w:szCs w:val="18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548" w:type="dxa"/>
          </w:tcPr>
          <w:p w14:paraId="65EB9788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630909" w14:paraId="6997716E" w14:textId="77777777" w:rsidTr="00CA485C">
        <w:tc>
          <w:tcPr>
            <w:tcW w:w="3800" w:type="dxa"/>
          </w:tcPr>
          <w:p w14:paraId="032E3740" w14:textId="77777777" w:rsidR="00D3487E" w:rsidRPr="00720E16" w:rsidRDefault="004E2DDF" w:rsidP="00A36570">
            <w:pPr>
              <w:widowControl w:val="0"/>
              <w:tabs>
                <w:tab w:val="left" w:pos="4144"/>
                <w:tab w:val="left" w:pos="4428"/>
              </w:tabs>
              <w:autoSpaceDE w:val="0"/>
              <w:autoSpaceDN w:val="0"/>
              <w:adjustRightInd w:val="0"/>
              <w:spacing w:line="276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ANNUAL RETURN:</w:t>
            </w:r>
          </w:p>
        </w:tc>
        <w:tc>
          <w:tcPr>
            <w:tcW w:w="6548" w:type="dxa"/>
          </w:tcPr>
          <w:p w14:paraId="1F0A4F78" w14:textId="77777777" w:rsidR="00D3487E" w:rsidRPr="00464C29" w:rsidRDefault="004E2DDF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Being satisfied that the fund had complied with the requirements of the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Superannuation Industry (Supervision) Act 1993 (SISA) and Regulations during the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year ended </w:t>
            </w:r>
            <w:r w:rsidRPr="00464C29">
              <w:rPr>
                <w:rFonts w:ascii="Helvetica" w:hAnsi="Helvetica"/>
                <w:noProof/>
                <w:color w:val="000000"/>
                <w:sz w:val="18"/>
                <w:szCs w:val="18"/>
                <w:lang w:val="en-US"/>
              </w:rPr>
              <w:t>30 June 2020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, it was resolved that the annual return be approved, signed and lodged with the Australian Taxation Office.</w:t>
            </w:r>
          </w:p>
        </w:tc>
      </w:tr>
      <w:tr w:rsidR="00630909" w14:paraId="3A236C07" w14:textId="77777777" w:rsidTr="00CA485C">
        <w:tc>
          <w:tcPr>
            <w:tcW w:w="3800" w:type="dxa"/>
          </w:tcPr>
          <w:p w14:paraId="71E77AB3" w14:textId="77777777" w:rsidR="00D31689" w:rsidRPr="00720E16" w:rsidRDefault="004E2DDF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 </w:t>
            </w:r>
          </w:p>
        </w:tc>
        <w:tc>
          <w:tcPr>
            <w:tcW w:w="6548" w:type="dxa"/>
          </w:tcPr>
          <w:p w14:paraId="585B1AE3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630909" w14:paraId="2C30A839" w14:textId="77777777" w:rsidTr="00CA485C">
        <w:tc>
          <w:tcPr>
            <w:tcW w:w="3800" w:type="dxa"/>
          </w:tcPr>
          <w:p w14:paraId="7BF42227" w14:textId="77777777" w:rsidR="00D3487E" w:rsidRPr="00720E16" w:rsidRDefault="004E2DDF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548" w:type="dxa"/>
          </w:tcPr>
          <w:p w14:paraId="5FCF3BA9" w14:textId="77777777" w:rsidR="00D3487E" w:rsidRPr="00464C29" w:rsidRDefault="004E2DDF" w:rsidP="00464C29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The allocation of the fund’s assets and the fund’s investment performance over the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financial year were reviewed and found to be within the acceptable ranges outlined in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the investment strategy. After considering the risk, rate of return and liquidity of the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investments and the ability of the fund to discharge its existing liabilities, it was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resolved that the investment strategy continues to reflect the purposes and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circumstances of the fund and its members. Accordingly, no changes in the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investment strategy were required.</w:t>
            </w:r>
          </w:p>
        </w:tc>
      </w:tr>
      <w:tr w:rsidR="00630909" w14:paraId="52554937" w14:textId="77777777" w:rsidTr="00CA485C">
        <w:tc>
          <w:tcPr>
            <w:tcW w:w="3800" w:type="dxa"/>
          </w:tcPr>
          <w:p w14:paraId="61B266C6" w14:textId="77777777" w:rsidR="00D31689" w:rsidRPr="00720E16" w:rsidRDefault="00D31689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</w:p>
        </w:tc>
        <w:tc>
          <w:tcPr>
            <w:tcW w:w="6548" w:type="dxa"/>
          </w:tcPr>
          <w:p w14:paraId="141DB27E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630909" w14:paraId="63A722D1" w14:textId="77777777" w:rsidTr="00CA485C">
        <w:tc>
          <w:tcPr>
            <w:tcW w:w="3800" w:type="dxa"/>
          </w:tcPr>
          <w:p w14:paraId="2CE69AB9" w14:textId="77777777" w:rsidR="00D3487E" w:rsidRPr="00720E16" w:rsidRDefault="004E2DDF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INSURANCE COVER:</w:t>
            </w:r>
          </w:p>
        </w:tc>
        <w:tc>
          <w:tcPr>
            <w:tcW w:w="6548" w:type="dxa"/>
          </w:tcPr>
          <w:p w14:paraId="25CA7995" w14:textId="2B8438FF" w:rsidR="00D3487E" w:rsidRPr="00464C29" w:rsidRDefault="004E2DDF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The </w:t>
            </w:r>
            <w:r w:rsidR="004973A5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Trustee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(s) reviewed the current life and total and permanent disability insurance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coverage on offer to the members and resolved that the current insurance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arrangements were appropriate for the fund.</w:t>
            </w:r>
          </w:p>
        </w:tc>
      </w:tr>
      <w:tr w:rsidR="00630909" w14:paraId="47920A0A" w14:textId="77777777" w:rsidTr="00CA485C">
        <w:tc>
          <w:tcPr>
            <w:tcW w:w="3800" w:type="dxa"/>
          </w:tcPr>
          <w:p w14:paraId="1DEF9607" w14:textId="77777777" w:rsidR="00D31689" w:rsidRPr="00720E16" w:rsidRDefault="004E2DDF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548" w:type="dxa"/>
          </w:tcPr>
          <w:p w14:paraId="0B5B45D1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630909" w14:paraId="083D7229" w14:textId="77777777" w:rsidTr="00CA485C">
        <w:tc>
          <w:tcPr>
            <w:tcW w:w="3800" w:type="dxa"/>
          </w:tcPr>
          <w:p w14:paraId="4897F46E" w14:textId="77777777" w:rsidR="00D3487E" w:rsidRPr="00720E16" w:rsidRDefault="004E2DDF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ALLOCATION OF INCOME:</w:t>
            </w:r>
          </w:p>
        </w:tc>
        <w:tc>
          <w:tcPr>
            <w:tcW w:w="6548" w:type="dxa"/>
          </w:tcPr>
          <w:p w14:paraId="0888EECA" w14:textId="77777777" w:rsidR="00D3487E" w:rsidRPr="00464C29" w:rsidRDefault="004E2DDF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 was resolved that the income of the fund would be allocated to the members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based on their average daily balance (an alternative allocation basis may be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percentage of opening balance).</w:t>
            </w:r>
          </w:p>
        </w:tc>
      </w:tr>
      <w:tr w:rsidR="00630909" w14:paraId="3E6E0ED2" w14:textId="77777777" w:rsidTr="00CA485C">
        <w:tc>
          <w:tcPr>
            <w:tcW w:w="3800" w:type="dxa"/>
          </w:tcPr>
          <w:p w14:paraId="385139E7" w14:textId="77777777" w:rsidR="00D31689" w:rsidRPr="00720E16" w:rsidRDefault="004E2DDF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548" w:type="dxa"/>
          </w:tcPr>
          <w:p w14:paraId="1F2736CD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630909" w14:paraId="73C2A286" w14:textId="77777777" w:rsidTr="00CA485C">
        <w:tc>
          <w:tcPr>
            <w:tcW w:w="3800" w:type="dxa"/>
          </w:tcPr>
          <w:p w14:paraId="1F3B588C" w14:textId="77777777" w:rsidR="00D3487E" w:rsidRPr="00720E16" w:rsidRDefault="004E2DDF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ACQUISITIONS:</w:t>
            </w:r>
          </w:p>
        </w:tc>
        <w:tc>
          <w:tcPr>
            <w:tcW w:w="6548" w:type="dxa"/>
          </w:tcPr>
          <w:p w14:paraId="59F62935" w14:textId="508944BD" w:rsidR="004E2DDF" w:rsidRDefault="004E2DDF" w:rsidP="004E2DDF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The </w:t>
            </w:r>
            <w:r w:rsidR="004973A5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Trustee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s decided to invest in </w:t>
            </w:r>
            <w:r w:rsidR="004973A5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new 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unlisted investments throughout the year. The </w:t>
            </w:r>
            <w:r w:rsidR="004973A5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Trustee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 considered th</w:t>
            </w:r>
            <w:r w:rsidR="004973A5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ese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investment acquisition</w:t>
            </w:r>
            <w:r w:rsidR="004973A5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to be appropriate for the Fund and noted that they:</w:t>
            </w:r>
          </w:p>
          <w:p w14:paraId="7DF7D2A1" w14:textId="154C4823" w:rsidR="004E2DDF" w:rsidRPr="00E43BAA" w:rsidRDefault="004E2DDF" w:rsidP="004E2DDF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rPr>
                <w:rFonts w:ascii="Helvetica" w:hAnsi="Helvetica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wish to vary the Fund’s investment strategy to include an investment range of 20-60% for Cash;</w:t>
            </w:r>
          </w:p>
          <w:p w14:paraId="27585929" w14:textId="77777777" w:rsidR="004E2DDF" w:rsidRPr="00B165EE" w:rsidRDefault="004E2DDF" w:rsidP="004E2DDF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B32771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is in accordance with the 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Investment Objectives of the current I</w:t>
            </w:r>
            <w:r w:rsidRPr="00B32771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nvestment 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</w:t>
            </w:r>
            <w:r w:rsidRPr="00B32771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trateg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y of the Fund; and </w:t>
            </w:r>
          </w:p>
          <w:p w14:paraId="03613850" w14:textId="77777777" w:rsidR="004E2DDF" w:rsidRPr="00E43BAA" w:rsidRDefault="004E2DDF" w:rsidP="004E2DDF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E43BAA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does not breach any Superannuation Laws.</w:t>
            </w:r>
          </w:p>
          <w:p w14:paraId="4A6CA727" w14:textId="43BA144D" w:rsidR="004E2DDF" w:rsidRDefault="004E2DDF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14:paraId="42C0A68F" w14:textId="45555B5C" w:rsidR="00D3487E" w:rsidRPr="00464C29" w:rsidRDefault="004E2DDF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 was resolved to ratify the investment acquisitions throughout the financial year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ended </w:t>
            </w:r>
            <w:r w:rsidRPr="00464C29">
              <w:rPr>
                <w:rFonts w:ascii="Helvetica" w:hAnsi="Helvetica"/>
                <w:noProof/>
                <w:color w:val="000000"/>
                <w:sz w:val="18"/>
                <w:szCs w:val="18"/>
                <w:lang w:val="en-US"/>
              </w:rPr>
              <w:t>30 June 2020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</w:tc>
      </w:tr>
      <w:tr w:rsidR="00630909" w14:paraId="3C2B3B04" w14:textId="77777777" w:rsidTr="00CA485C">
        <w:tc>
          <w:tcPr>
            <w:tcW w:w="3800" w:type="dxa"/>
          </w:tcPr>
          <w:p w14:paraId="0CE1E213" w14:textId="77777777" w:rsidR="00D31689" w:rsidRPr="00720E16" w:rsidRDefault="004E2DDF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548" w:type="dxa"/>
          </w:tcPr>
          <w:p w14:paraId="50AA9BE3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630909" w14:paraId="1941633C" w14:textId="77777777" w:rsidTr="00CA485C">
        <w:tc>
          <w:tcPr>
            <w:tcW w:w="3800" w:type="dxa"/>
          </w:tcPr>
          <w:p w14:paraId="6183E357" w14:textId="77777777" w:rsidR="00D3487E" w:rsidRPr="00720E16" w:rsidRDefault="004E2DDF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DISPOSALS:</w:t>
            </w:r>
          </w:p>
        </w:tc>
        <w:tc>
          <w:tcPr>
            <w:tcW w:w="6548" w:type="dxa"/>
          </w:tcPr>
          <w:p w14:paraId="1BB5671C" w14:textId="77777777" w:rsidR="00D3487E" w:rsidRPr="00464C29" w:rsidRDefault="004E2DDF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 was resolved to ratify the investment disposals throughout the financial year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ended </w:t>
            </w:r>
            <w:r w:rsidRPr="00464C29">
              <w:rPr>
                <w:rFonts w:ascii="Helvetica" w:hAnsi="Helvetica"/>
                <w:noProof/>
                <w:color w:val="000000"/>
                <w:sz w:val="18"/>
                <w:szCs w:val="18"/>
                <w:lang w:val="en-US"/>
              </w:rPr>
              <w:t>30 June 2020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</w:tc>
      </w:tr>
      <w:tr w:rsidR="00630909" w14:paraId="4E353134" w14:textId="77777777" w:rsidTr="00CA485C">
        <w:tc>
          <w:tcPr>
            <w:tcW w:w="3800" w:type="dxa"/>
          </w:tcPr>
          <w:p w14:paraId="7C88A1E6" w14:textId="77777777" w:rsidR="00D31689" w:rsidRPr="00720E16" w:rsidRDefault="004E2DDF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548" w:type="dxa"/>
          </w:tcPr>
          <w:p w14:paraId="20B80219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630909" w14:paraId="69B44A42" w14:textId="77777777" w:rsidTr="00CA485C">
        <w:tc>
          <w:tcPr>
            <w:tcW w:w="3800" w:type="dxa"/>
          </w:tcPr>
          <w:p w14:paraId="69AD739A" w14:textId="77777777" w:rsidR="00D3487E" w:rsidRPr="00720E16" w:rsidRDefault="004E2DDF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AUDITORS</w:t>
            </w:r>
            <w:r w:rsidR="00A977E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:</w:t>
            </w:r>
          </w:p>
        </w:tc>
        <w:tc>
          <w:tcPr>
            <w:tcW w:w="6548" w:type="dxa"/>
          </w:tcPr>
          <w:p w14:paraId="3E38C15F" w14:textId="77777777" w:rsidR="00D3487E" w:rsidRPr="00464C29" w:rsidRDefault="004E2DDF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 was resolved that</w:t>
            </w:r>
          </w:p>
          <w:p w14:paraId="225F3EF7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14:paraId="3AFF6153" w14:textId="77777777" w:rsidR="00D3487E" w:rsidRPr="00464C29" w:rsidRDefault="004E2DDF" w:rsidP="007D1827">
            <w:pPr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noProof/>
                <w:sz w:val="18"/>
                <w:szCs w:val="18"/>
              </w:rPr>
              <w:t>Super Audits Pty Ltd</w:t>
            </w:r>
            <w:r w:rsidR="000C7ADD">
              <w:rPr>
                <w:rFonts w:ascii="Helvetica" w:hAnsi="Helvetica"/>
                <w:noProof/>
                <w:sz w:val="18"/>
                <w:szCs w:val="18"/>
              </w:rPr>
              <w:t xml:space="preserve"> </w:t>
            </w:r>
          </w:p>
          <w:p w14:paraId="72456D97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14:paraId="6C8A1BC9" w14:textId="77777777" w:rsidR="00D3487E" w:rsidRPr="00464C29" w:rsidRDefault="004E2DDF" w:rsidP="007D1827">
            <w:pPr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of</w:t>
            </w:r>
          </w:p>
          <w:p w14:paraId="0958D773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14:paraId="304DF9C5" w14:textId="77777777" w:rsidR="00D3487E" w:rsidRPr="00464C29" w:rsidRDefault="004E2DDF" w:rsidP="007D1827">
            <w:pPr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noProof/>
                <w:sz w:val="18"/>
                <w:szCs w:val="18"/>
              </w:rPr>
              <w:t>PO Box 3376, Rundle Mall, South Australia 5000</w:t>
            </w:r>
          </w:p>
          <w:p w14:paraId="3A73CDBD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14:paraId="07A896F8" w14:textId="77777777" w:rsidR="00D3487E" w:rsidRPr="00464C29" w:rsidRDefault="004E2DDF" w:rsidP="007D1827">
            <w:pPr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act as auditors of the Fund for the next financial year.</w:t>
            </w:r>
          </w:p>
        </w:tc>
      </w:tr>
      <w:tr w:rsidR="00630909" w14:paraId="25B6B69D" w14:textId="77777777" w:rsidTr="00CA485C">
        <w:tc>
          <w:tcPr>
            <w:tcW w:w="3800" w:type="dxa"/>
          </w:tcPr>
          <w:p w14:paraId="4491BF96" w14:textId="77777777" w:rsidR="00D31689" w:rsidRPr="00720E16" w:rsidRDefault="004E2DDF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548" w:type="dxa"/>
          </w:tcPr>
          <w:p w14:paraId="266FAFC4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</w:tbl>
    <w:p w14:paraId="6793FDC5" w14:textId="77777777" w:rsidR="004973A5" w:rsidRDefault="004973A5">
      <w:r>
        <w:br w:type="page"/>
      </w:r>
    </w:p>
    <w:tbl>
      <w:tblPr>
        <w:tblStyle w:val="TableGrid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00"/>
        <w:gridCol w:w="6548"/>
      </w:tblGrid>
      <w:tr w:rsidR="00630909" w14:paraId="4E83F6AB" w14:textId="77777777" w:rsidTr="00CA485C">
        <w:tc>
          <w:tcPr>
            <w:tcW w:w="3800" w:type="dxa"/>
          </w:tcPr>
          <w:p w14:paraId="6D8878A7" w14:textId="3D1EF46E" w:rsidR="00D3487E" w:rsidRPr="00720E16" w:rsidRDefault="004E2DDF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lastRenderedPageBreak/>
              <w:t>TAX AGENTS</w:t>
            </w:r>
            <w:r w:rsidR="00A977E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:</w:t>
            </w:r>
          </w:p>
        </w:tc>
        <w:tc>
          <w:tcPr>
            <w:tcW w:w="6548" w:type="dxa"/>
          </w:tcPr>
          <w:p w14:paraId="278993C8" w14:textId="77777777" w:rsidR="00D3487E" w:rsidRPr="00464C29" w:rsidRDefault="004E2DDF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 was resolved that</w:t>
            </w:r>
          </w:p>
          <w:p w14:paraId="63F735E6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14:paraId="1DDB9505" w14:textId="77777777" w:rsidR="00D3487E" w:rsidRPr="00464C29" w:rsidRDefault="004E2DDF" w:rsidP="007D1827">
            <w:pPr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noProof/>
                <w:sz w:val="18"/>
                <w:szCs w:val="18"/>
              </w:rPr>
              <w:t>Hfb Super Pty Ltd</w:t>
            </w:r>
            <w:r w:rsidR="000C7ADD">
              <w:rPr>
                <w:rFonts w:ascii="Helvetica" w:hAnsi="Helvetica"/>
                <w:noProof/>
                <w:sz w:val="18"/>
                <w:szCs w:val="18"/>
              </w:rPr>
              <w:t xml:space="preserve"> </w:t>
            </w:r>
          </w:p>
          <w:p w14:paraId="0BF099D7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14:paraId="284A8959" w14:textId="77777777" w:rsidR="00D3487E" w:rsidRPr="00464C29" w:rsidRDefault="004E2DDF" w:rsidP="007D1827">
            <w:pPr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act as tax agents of the Fund for the next financial year.</w:t>
            </w:r>
          </w:p>
        </w:tc>
      </w:tr>
      <w:tr w:rsidR="00630909" w14:paraId="5B85A983" w14:textId="77777777" w:rsidTr="00CA485C">
        <w:tc>
          <w:tcPr>
            <w:tcW w:w="3800" w:type="dxa"/>
          </w:tcPr>
          <w:p w14:paraId="379AE812" w14:textId="77777777" w:rsidR="00D31689" w:rsidRPr="00720E16" w:rsidRDefault="004E2DDF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548" w:type="dxa"/>
          </w:tcPr>
          <w:p w14:paraId="4CC5CE3C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630909" w14:paraId="02A5608E" w14:textId="77777777" w:rsidTr="00CA485C">
        <w:tc>
          <w:tcPr>
            <w:tcW w:w="3800" w:type="dxa"/>
          </w:tcPr>
          <w:p w14:paraId="31C4FF00" w14:textId="77777777" w:rsidR="00D3487E" w:rsidRPr="00720E16" w:rsidRDefault="004E2DDF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TRUSTEE STATUS:</w:t>
            </w:r>
          </w:p>
        </w:tc>
        <w:tc>
          <w:tcPr>
            <w:tcW w:w="6548" w:type="dxa"/>
          </w:tcPr>
          <w:p w14:paraId="6D7778DE" w14:textId="4BA749B7" w:rsidR="00D3487E" w:rsidRPr="00464C29" w:rsidRDefault="004E2DDF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Each of the </w:t>
            </w:r>
            <w:r w:rsidR="004973A5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Trustee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(s) confirmed that they are qualified to act as </w:t>
            </w:r>
            <w:r w:rsidR="004973A5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Trustee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(s) of the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fund and that they are not disqualified persons as defined by s 120 of the SISA.</w:t>
            </w:r>
          </w:p>
          <w:p w14:paraId="1B64BCA2" w14:textId="77777777" w:rsidR="00D3487E" w:rsidRPr="00464C29" w:rsidRDefault="00D3487E" w:rsidP="007D1827">
            <w:pPr>
              <w:widowControl w:val="0"/>
              <w:tabs>
                <w:tab w:val="left" w:pos="-103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630909" w14:paraId="6BEAF936" w14:textId="77777777" w:rsidTr="00CA485C">
        <w:tc>
          <w:tcPr>
            <w:tcW w:w="3800" w:type="dxa"/>
          </w:tcPr>
          <w:p w14:paraId="1D75E8ED" w14:textId="77777777" w:rsidR="00D31689" w:rsidRPr="00720E16" w:rsidRDefault="004E2DDF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548" w:type="dxa"/>
          </w:tcPr>
          <w:p w14:paraId="4F758E90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630909" w14:paraId="6BA20AC1" w14:textId="77777777" w:rsidTr="00CA485C">
        <w:tc>
          <w:tcPr>
            <w:tcW w:w="3800" w:type="dxa"/>
          </w:tcPr>
          <w:p w14:paraId="306770B9" w14:textId="77777777" w:rsidR="00D3487E" w:rsidRPr="00720E16" w:rsidRDefault="004E2DDF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CONTRIBUTIONS RECEIVED:</w:t>
            </w:r>
          </w:p>
        </w:tc>
        <w:tc>
          <w:tcPr>
            <w:tcW w:w="6548" w:type="dxa"/>
          </w:tcPr>
          <w:p w14:paraId="0B5C3676" w14:textId="77777777" w:rsidR="00D3487E" w:rsidRPr="00464C29" w:rsidRDefault="004E2DDF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 was resolved that the contributions during the year be allocated to members on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the basis of the schedule provided by the principal Fund employer.</w:t>
            </w:r>
          </w:p>
        </w:tc>
      </w:tr>
      <w:tr w:rsidR="00630909" w14:paraId="33966960" w14:textId="77777777" w:rsidTr="00CA485C">
        <w:tc>
          <w:tcPr>
            <w:tcW w:w="3800" w:type="dxa"/>
          </w:tcPr>
          <w:p w14:paraId="42838FAA" w14:textId="77777777" w:rsidR="00D31689" w:rsidRPr="00720E16" w:rsidRDefault="004E2DDF" w:rsidP="00170044">
            <w:pPr>
              <w:widowControl w:val="0"/>
              <w:tabs>
                <w:tab w:val="left" w:pos="567"/>
                <w:tab w:val="left" w:pos="3761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 </w:t>
            </w:r>
          </w:p>
        </w:tc>
        <w:tc>
          <w:tcPr>
            <w:tcW w:w="6548" w:type="dxa"/>
          </w:tcPr>
          <w:p w14:paraId="4C2B48D8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630909" w14:paraId="6D762703" w14:textId="77777777" w:rsidTr="00CA485C">
        <w:tc>
          <w:tcPr>
            <w:tcW w:w="3800" w:type="dxa"/>
          </w:tcPr>
          <w:p w14:paraId="2C5558B9" w14:textId="77777777" w:rsidR="00D3487E" w:rsidRPr="00720E16" w:rsidRDefault="004E2DDF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548" w:type="dxa"/>
          </w:tcPr>
          <w:p w14:paraId="61398AAB" w14:textId="77777777" w:rsidR="00D3487E" w:rsidRPr="00464C29" w:rsidRDefault="004E2DDF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Signed as a true record – </w:t>
            </w:r>
          </w:p>
          <w:p w14:paraId="7789BDAD" w14:textId="77777777" w:rsidR="00D3487E" w:rsidRPr="00464C29" w:rsidRDefault="004E2DDF" w:rsidP="007D1827">
            <w:pPr>
              <w:widowControl w:val="0"/>
              <w:autoSpaceDE w:val="0"/>
              <w:autoSpaceDN w:val="0"/>
              <w:adjustRightInd w:val="0"/>
              <w:spacing w:line="974" w:lineRule="exact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sz w:val="18"/>
                <w:szCs w:val="18"/>
                <w:lang w:val="en-US"/>
              </w:rPr>
              <w:tab/>
            </w:r>
            <w:r w:rsidRPr="00464C29">
              <w:rPr>
                <w:rFonts w:ascii="Helvetica" w:hAnsi="Helvetica"/>
                <w:sz w:val="18"/>
                <w:szCs w:val="18"/>
                <w:lang w:val="en-US"/>
              </w:rPr>
              <w:tab/>
            </w:r>
            <w:r w:rsidRPr="00464C29">
              <w:rPr>
                <w:rFonts w:ascii="Helvetica" w:hAnsi="Helvetica"/>
                <w:sz w:val="18"/>
                <w:szCs w:val="18"/>
                <w:lang w:val="en-US"/>
              </w:rPr>
              <w:tab/>
            </w:r>
          </w:p>
          <w:p w14:paraId="7A3E83D7" w14:textId="77777777" w:rsidR="00D3487E" w:rsidRPr="00464C29" w:rsidRDefault="00D3487E" w:rsidP="007D1827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14:paraId="4B54C1D2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14:paraId="0D9C72BA" w14:textId="77777777" w:rsidR="00AF637A" w:rsidRPr="00464C29" w:rsidRDefault="004E2DDF" w:rsidP="007D1827">
            <w:pPr>
              <w:widowControl w:val="0"/>
              <w:tabs>
                <w:tab w:val="center" w:pos="-108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</w:rPr>
            </w:pPr>
            <w:r w:rsidRPr="00464C29">
              <w:rPr>
                <w:rFonts w:ascii="Helvetica" w:hAnsi="Helvetica"/>
                <w:sz w:val="18"/>
                <w:szCs w:val="18"/>
              </w:rPr>
              <w:t>.................................................................</w:t>
            </w:r>
          </w:p>
          <w:p w14:paraId="45EA1074" w14:textId="77777777" w:rsidR="00D3487E" w:rsidRPr="00464C29" w:rsidRDefault="004E2DDF" w:rsidP="007D1827">
            <w:pPr>
              <w:widowControl w:val="0"/>
              <w:tabs>
                <w:tab w:val="center" w:pos="-108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</w:rPr>
            </w:pPr>
            <w:r w:rsidRPr="00464C29">
              <w:rPr>
                <w:rFonts w:ascii="Helvetica" w:hAnsi="Helvetica"/>
                <w:noProof/>
                <w:sz w:val="18"/>
                <w:szCs w:val="18"/>
              </w:rPr>
              <w:t>Philip</w:t>
            </w:r>
            <w:r>
              <w:rPr>
                <w:rFonts w:ascii="Helvetica" w:hAnsi="Helvetica"/>
                <w:noProof/>
                <w:sz w:val="18"/>
                <w:szCs w:val="18"/>
              </w:rPr>
              <w:t xml:space="preserve"> </w:t>
            </w:r>
            <w:r w:rsidRPr="00464C29">
              <w:rPr>
                <w:rFonts w:ascii="Helvetica" w:hAnsi="Helvetica"/>
                <w:noProof/>
                <w:sz w:val="18"/>
                <w:szCs w:val="18"/>
              </w:rPr>
              <w:t>Ryan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br/>
            </w:r>
          </w:p>
          <w:p w14:paraId="3F860589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</w:rPr>
            </w:pPr>
          </w:p>
          <w:p w14:paraId="138F38FB" w14:textId="77777777" w:rsidR="00D3487E" w:rsidRPr="00BD024E" w:rsidRDefault="00D3487E" w:rsidP="00BD024E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14:paraId="7889B159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14:paraId="55659E10" w14:textId="77777777" w:rsidR="00AF637A" w:rsidRPr="00464C29" w:rsidRDefault="004E2DDF" w:rsidP="007D1827">
            <w:pPr>
              <w:widowControl w:val="0"/>
              <w:tabs>
                <w:tab w:val="center" w:pos="-108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</w:rPr>
            </w:pPr>
            <w:r w:rsidRPr="00464C29">
              <w:rPr>
                <w:rFonts w:ascii="Helvetica" w:hAnsi="Helvetica"/>
                <w:sz w:val="18"/>
                <w:szCs w:val="18"/>
              </w:rPr>
              <w:t>.................................................................</w:t>
            </w:r>
          </w:p>
          <w:p w14:paraId="366DBA08" w14:textId="77777777" w:rsidR="00D3487E" w:rsidRPr="00464C29" w:rsidRDefault="004E2DDF" w:rsidP="007D1827">
            <w:pPr>
              <w:widowControl w:val="0"/>
              <w:tabs>
                <w:tab w:val="center" w:pos="-108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</w:rPr>
            </w:pPr>
            <w:r w:rsidRPr="00464C29">
              <w:rPr>
                <w:rFonts w:ascii="Helvetica" w:hAnsi="Helvetica"/>
                <w:noProof/>
                <w:sz w:val="18"/>
                <w:szCs w:val="18"/>
              </w:rPr>
              <w:t>Jonathan</w:t>
            </w:r>
            <w:r>
              <w:rPr>
                <w:rFonts w:ascii="Helvetica" w:hAnsi="Helvetica"/>
                <w:noProof/>
                <w:sz w:val="18"/>
                <w:szCs w:val="18"/>
              </w:rPr>
              <w:t xml:space="preserve"> </w:t>
            </w:r>
            <w:r w:rsidRPr="00464C29">
              <w:rPr>
                <w:rFonts w:ascii="Helvetica" w:hAnsi="Helvetica"/>
                <w:noProof/>
                <w:sz w:val="18"/>
                <w:szCs w:val="18"/>
              </w:rPr>
              <w:t>Mccarthy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br/>
            </w:r>
          </w:p>
          <w:p w14:paraId="2A86A62A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</w:rPr>
            </w:pPr>
          </w:p>
          <w:p w14:paraId="0AA16A42" w14:textId="77777777" w:rsidR="00D3487E" w:rsidRPr="00BD024E" w:rsidRDefault="00D3487E" w:rsidP="00BD024E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14:paraId="68C39167" w14:textId="77777777" w:rsidR="00C02081" w:rsidRPr="00BD024E" w:rsidRDefault="00C02081" w:rsidP="00BD024E">
      <w:pPr>
        <w:widowControl w:val="0"/>
        <w:tabs>
          <w:tab w:val="left" w:pos="1005"/>
          <w:tab w:val="left" w:pos="4375"/>
        </w:tabs>
        <w:autoSpaceDE w:val="0"/>
        <w:autoSpaceDN w:val="0"/>
        <w:adjustRightInd w:val="0"/>
        <w:rPr>
          <w:rFonts w:ascii="Helvetica" w:hAnsi="Helvetica"/>
          <w:sz w:val="16"/>
          <w:szCs w:val="16"/>
          <w:u w:val="double"/>
          <w:lang w:val="en-US"/>
        </w:rPr>
      </w:pPr>
    </w:p>
    <w:sectPr w:rsidR="00C02081" w:rsidRPr="00BD024E" w:rsidSect="00B760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8"/>
      <w:pgMar w:top="624" w:right="301" w:bottom="992" w:left="1021" w:header="478" w:footer="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9D57C6" w14:textId="77777777" w:rsidR="006F6357" w:rsidRDefault="004E2DDF">
      <w:r>
        <w:separator/>
      </w:r>
    </w:p>
  </w:endnote>
  <w:endnote w:type="continuationSeparator" w:id="0">
    <w:p w14:paraId="082E3025" w14:textId="77777777" w:rsidR="006F6357" w:rsidRDefault="004E2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79548B" w14:textId="77777777" w:rsidR="00BD39C5" w:rsidRDefault="00BD39C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7087E5" w14:textId="77777777" w:rsidR="00BD39C5" w:rsidRDefault="00BD39C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393BF8" w14:textId="77777777" w:rsidR="00BD39C5" w:rsidRDefault="00BD39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AE0B3D" w14:textId="77777777" w:rsidR="006F6357" w:rsidRDefault="004E2DDF">
      <w:r>
        <w:separator/>
      </w:r>
    </w:p>
  </w:footnote>
  <w:footnote w:type="continuationSeparator" w:id="0">
    <w:p w14:paraId="687B7214" w14:textId="77777777" w:rsidR="006F6357" w:rsidRDefault="004E2D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2DEE3A" w14:textId="77777777" w:rsidR="00BD39C5" w:rsidRDefault="00BD39C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1"/>
      <w:tblW w:w="106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8584"/>
      <w:gridCol w:w="2024"/>
    </w:tblGrid>
    <w:tr w:rsidR="00630909" w14:paraId="37E5DC71" w14:textId="77777777" w:rsidTr="00BD39C5">
      <w:trPr>
        <w:trHeight w:val="375"/>
      </w:trPr>
      <w:tc>
        <w:tcPr>
          <w:tcW w:w="8584" w:type="dxa"/>
        </w:tcPr>
        <w:p w14:paraId="6E26F89F" w14:textId="77777777" w:rsidR="00CA485C" w:rsidRPr="008D147F" w:rsidRDefault="004E2DDF" w:rsidP="00A977E6">
          <w:pPr>
            <w:ind w:left="-100" w:right="-772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  <w:r w:rsidRPr="00FA164A">
            <w:rPr>
              <w:rFonts w:ascii="Helvetica" w:hAnsi="Helvetica"/>
              <w:b/>
              <w:bCs/>
              <w:color w:val="000000"/>
              <w:sz w:val="32"/>
              <w:szCs w:val="32"/>
              <w:lang w:val="en-US"/>
            </w:rPr>
            <w:t xml:space="preserve">Memorandum of Resolutions of </w:t>
          </w:r>
        </w:p>
      </w:tc>
      <w:tc>
        <w:tcPr>
          <w:tcW w:w="2024" w:type="dxa"/>
          <w:vMerge w:val="restart"/>
        </w:tcPr>
        <w:p w14:paraId="681CE764" w14:textId="77777777" w:rsidR="00CA485C" w:rsidRDefault="004E2DDF" w:rsidP="00A977E6">
          <w:pPr>
            <w:ind w:right="-8"/>
            <w:jc w:val="right"/>
            <w:rPr>
              <w:b/>
              <w:lang w:val="en-US"/>
            </w:rPr>
          </w:pPr>
          <w:bookmarkStart w:id="0" w:name="logo"/>
          <w:r w:rsidRPr="00FC589F">
            <w:rPr>
              <w:b/>
              <w:noProof/>
              <w:lang w:val="en-US" w:eastAsia="zh-CN"/>
            </w:rPr>
            <w:drawing>
              <wp:anchor distT="0" distB="0" distL="114300" distR="114300" simplePos="0" relativeHeight="251658240" behindDoc="0" locked="0" layoutInCell="1" allowOverlap="1" wp14:anchorId="06EDC4AD" wp14:editId="6A9EE51B">
                <wp:simplePos x="0" y="0"/>
                <wp:positionH relativeFrom="page">
                  <wp:align>right</wp:align>
                </wp:positionH>
                <wp:positionV relativeFrom="margin">
                  <wp:align>center</wp:align>
                </wp:positionV>
                <wp:extent cx="1752600" cy="981075"/>
                <wp:effectExtent l="0" t="0" r="0" b="0"/>
                <wp:wrapNone/>
                <wp:docPr id="2" name="图片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57348445" name="yourlogo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52600" cy="981075"/>
                        </a:xfrm>
                        <a:prstGeom prst="rect">
                          <a:avLst/>
                        </a:prstGeom>
                        <a:extLst>
                          <a:ext uri="{FAA26D3D-D897-4be2-8F04-BA451C77F1D7}">
                            <ma14:placeholderFlag xmlns="" xmlns:ma14="http://schemas.microsoft.com/office/mac/drawingml/2011/main" xmlns:mo="http://schemas.microsoft.com/office/mac/office/2008/main" xmlns:mv="urn:schemas-microsoft-com:mac:vml" xmlns:o="urn:schemas-microsoft-com:office:office" xmlns:v="urn:schemas-microsoft-com:vml" xmlns:ve="http://schemas.openxmlformats.org/markup-compatibility/2006" xmlns:w="http://schemas.openxmlformats.org/wordprocessingml/2006/main" xmlns:w10="urn:schemas-microsoft-com:office:word" xmlns:w16sdtdh="http://schemas.microsoft.com/office/word/2020/wordml/sdtdatahash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  <w:bookmarkEnd w:id="0"/>
        </w:p>
      </w:tc>
    </w:tr>
    <w:tr w:rsidR="00630909" w14:paraId="5786A33F" w14:textId="77777777" w:rsidTr="00BD39C5">
      <w:trPr>
        <w:trHeight w:val="319"/>
      </w:trPr>
      <w:tc>
        <w:tcPr>
          <w:tcW w:w="8584" w:type="dxa"/>
        </w:tcPr>
        <w:p w14:paraId="0846B139" w14:textId="77777777" w:rsidR="00CA485C" w:rsidRPr="00D14A59" w:rsidRDefault="004E2DDF" w:rsidP="00A977E6">
          <w:pPr>
            <w:tabs>
              <w:tab w:val="left" w:pos="8244"/>
            </w:tabs>
            <w:ind w:left="-100" w:right="-768"/>
            <w:rPr>
              <w:rFonts w:ascii="Helvetica" w:hAnsi="Helvetica" w:cs="Helvetica"/>
              <w:b/>
              <w:bCs/>
              <w:color w:val="000000"/>
              <w:sz w:val="32"/>
              <w:szCs w:val="32"/>
              <w:lang w:val="en-US"/>
            </w:rPr>
          </w:pPr>
          <w:r w:rsidRPr="00352608">
            <w:rPr>
              <w:rFonts w:ascii="Helvetica" w:hAnsi="Helvetica"/>
              <w:b/>
              <w:noProof/>
              <w:sz w:val="22"/>
              <w:szCs w:val="22"/>
            </w:rPr>
            <w:t>Philip Ryan and Jonathan Mccarthy</w:t>
          </w:r>
          <w:r>
            <w:rPr>
              <w:rFonts w:ascii="Helvetica" w:hAnsi="Helvetica"/>
              <w:b/>
              <w:noProof/>
              <w:sz w:val="22"/>
              <w:szCs w:val="22"/>
            </w:rPr>
            <w:t xml:space="preserve"> </w:t>
          </w:r>
          <w:r>
            <w:rPr>
              <w:rFonts w:ascii="Helvetica" w:hAnsi="Helvetica" w:cs="Helvetica"/>
              <w:b/>
              <w:bCs/>
              <w:color w:val="000000"/>
              <w:sz w:val="32"/>
              <w:szCs w:val="32"/>
              <w:lang w:val="en-US"/>
            </w:rPr>
            <w:tab/>
          </w:r>
        </w:p>
      </w:tc>
      <w:tc>
        <w:tcPr>
          <w:tcW w:w="2024" w:type="dxa"/>
          <w:vMerge/>
        </w:tcPr>
        <w:p w14:paraId="1B0986D7" w14:textId="77777777" w:rsidR="00CA485C" w:rsidRDefault="00CA485C" w:rsidP="00A977E6">
          <w:pPr>
            <w:rPr>
              <w:b/>
              <w:lang w:val="en-US"/>
            </w:rPr>
          </w:pPr>
        </w:p>
      </w:tc>
    </w:tr>
    <w:tr w:rsidR="00630909" w14:paraId="6F0E0DAA" w14:textId="77777777" w:rsidTr="00BD39C5">
      <w:trPr>
        <w:trHeight w:val="236"/>
      </w:trPr>
      <w:tc>
        <w:tcPr>
          <w:tcW w:w="8584" w:type="dxa"/>
        </w:tcPr>
        <w:p w14:paraId="63318A1E" w14:textId="77777777" w:rsidR="00CA485C" w:rsidRDefault="004E2DDF" w:rsidP="00A977E6">
          <w:pPr>
            <w:tabs>
              <w:tab w:val="left" w:pos="8244"/>
            </w:tabs>
            <w:ind w:left="-100" w:right="-768"/>
          </w:pPr>
          <w:r w:rsidRPr="00352608"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  <w:t xml:space="preserve">ATF </w:t>
          </w:r>
          <w:r w:rsidRPr="00352608">
            <w:rPr>
              <w:rFonts w:ascii="Helvetica" w:hAnsi="Helvetica"/>
              <w:b/>
              <w:noProof/>
            </w:rPr>
            <w:t>P A RYAN PENSION FUND</w:t>
          </w:r>
        </w:p>
      </w:tc>
      <w:tc>
        <w:tcPr>
          <w:tcW w:w="2024" w:type="dxa"/>
          <w:vMerge/>
        </w:tcPr>
        <w:p w14:paraId="7E8C7FC1" w14:textId="77777777" w:rsidR="00CA485C" w:rsidRDefault="00CA485C" w:rsidP="00A977E6">
          <w:pPr>
            <w:rPr>
              <w:b/>
              <w:lang w:val="en-US"/>
            </w:rPr>
          </w:pPr>
        </w:p>
      </w:tc>
    </w:tr>
    <w:tr w:rsidR="00630909" w14:paraId="7D589ECD" w14:textId="77777777" w:rsidTr="00BD39C5">
      <w:trPr>
        <w:trHeight w:val="20"/>
      </w:trPr>
      <w:tc>
        <w:tcPr>
          <w:tcW w:w="10608" w:type="dxa"/>
          <w:gridSpan w:val="2"/>
        </w:tcPr>
        <w:tbl>
          <w:tblPr>
            <w:tblpPr w:leftFromText="180" w:rightFromText="180" w:vertAnchor="text" w:horzAnchor="margin" w:tblpXSpec="center" w:tblpY="98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</w:tblGrid>
          <w:tr w:rsidR="00630909" w14:paraId="719226D2" w14:textId="77777777" w:rsidTr="00CA485C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14:paraId="092F2B05" w14:textId="77777777" w:rsidR="00CA485C" w:rsidRDefault="00CA485C" w:rsidP="00A977E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14:paraId="0EE8357C" w14:textId="77777777" w:rsidR="00CA485C" w:rsidRPr="00E40F90" w:rsidRDefault="00CA485C" w:rsidP="00A977E6">
          <w:pPr>
            <w:jc w:val="center"/>
            <w:rPr>
              <w:lang w:val="en-US"/>
            </w:rPr>
          </w:pPr>
        </w:p>
      </w:tc>
    </w:tr>
  </w:tbl>
  <w:p w14:paraId="4BD1069F" w14:textId="77777777" w:rsidR="00CA485C" w:rsidRPr="00CA485C" w:rsidRDefault="00CA485C" w:rsidP="00DD3E5D">
    <w:pPr>
      <w:pStyle w:val="Header"/>
      <w:tabs>
        <w:tab w:val="clear" w:pos="4513"/>
        <w:tab w:val="clear" w:pos="9026"/>
        <w:tab w:val="left" w:pos="528"/>
      </w:tabs>
      <w:rPr>
        <w:rFonts w:ascii="Helvetica" w:hAnsi="Helvetica" w:cs="Helvetica"/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D42B60" w14:textId="77777777" w:rsidR="00BD39C5" w:rsidRDefault="00BD39C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B508B9"/>
    <w:multiLevelType w:val="hybridMultilevel"/>
    <w:tmpl w:val="E7F09A44"/>
    <w:lvl w:ilvl="0" w:tplc="195081CC">
      <w:numFmt w:val="bullet"/>
      <w:lvlText w:val=""/>
      <w:lvlJc w:val="left"/>
      <w:pPr>
        <w:ind w:left="252" w:hanging="360"/>
      </w:pPr>
      <w:rPr>
        <w:rFonts w:ascii="Symbol" w:eastAsia="SimSun" w:hAnsi="Symbol" w:cs="Times New Roman" w:hint="default"/>
        <w:color w:val="000000"/>
      </w:rPr>
    </w:lvl>
    <w:lvl w:ilvl="1" w:tplc="0C0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69C5"/>
    <w:rsid w:val="00000E51"/>
    <w:rsid w:val="00032F61"/>
    <w:rsid w:val="000339FA"/>
    <w:rsid w:val="00044E6C"/>
    <w:rsid w:val="00051E29"/>
    <w:rsid w:val="000659E8"/>
    <w:rsid w:val="00081D4E"/>
    <w:rsid w:val="000B71CB"/>
    <w:rsid w:val="000C7ADD"/>
    <w:rsid w:val="000F492C"/>
    <w:rsid w:val="00131AFC"/>
    <w:rsid w:val="00152593"/>
    <w:rsid w:val="00170044"/>
    <w:rsid w:val="00181EF6"/>
    <w:rsid w:val="00182E93"/>
    <w:rsid w:val="001A5F29"/>
    <w:rsid w:val="001C3541"/>
    <w:rsid w:val="00204CD6"/>
    <w:rsid w:val="00213312"/>
    <w:rsid w:val="00260513"/>
    <w:rsid w:val="002A1E0B"/>
    <w:rsid w:val="002A4B09"/>
    <w:rsid w:val="002D7C70"/>
    <w:rsid w:val="002E170F"/>
    <w:rsid w:val="002E6915"/>
    <w:rsid w:val="002F1791"/>
    <w:rsid w:val="002F25F4"/>
    <w:rsid w:val="00300808"/>
    <w:rsid w:val="00326662"/>
    <w:rsid w:val="00352608"/>
    <w:rsid w:val="00357295"/>
    <w:rsid w:val="003A2551"/>
    <w:rsid w:val="003B14FA"/>
    <w:rsid w:val="003E2C35"/>
    <w:rsid w:val="003F2E79"/>
    <w:rsid w:val="003F57A0"/>
    <w:rsid w:val="0043380B"/>
    <w:rsid w:val="00434F03"/>
    <w:rsid w:val="004635A4"/>
    <w:rsid w:val="00464A4D"/>
    <w:rsid w:val="00464C29"/>
    <w:rsid w:val="00483CDC"/>
    <w:rsid w:val="00491578"/>
    <w:rsid w:val="004973A5"/>
    <w:rsid w:val="004A13D0"/>
    <w:rsid w:val="004C2A82"/>
    <w:rsid w:val="004C5E4E"/>
    <w:rsid w:val="004D0446"/>
    <w:rsid w:val="004E2DDF"/>
    <w:rsid w:val="00516200"/>
    <w:rsid w:val="00533A60"/>
    <w:rsid w:val="00547574"/>
    <w:rsid w:val="00553133"/>
    <w:rsid w:val="00573956"/>
    <w:rsid w:val="00575381"/>
    <w:rsid w:val="00582A95"/>
    <w:rsid w:val="005A5B5D"/>
    <w:rsid w:val="005B54B7"/>
    <w:rsid w:val="00611FA9"/>
    <w:rsid w:val="0062021F"/>
    <w:rsid w:val="00624834"/>
    <w:rsid w:val="00630909"/>
    <w:rsid w:val="00635C9F"/>
    <w:rsid w:val="0064490F"/>
    <w:rsid w:val="00665AA4"/>
    <w:rsid w:val="00672AAD"/>
    <w:rsid w:val="00677FC7"/>
    <w:rsid w:val="006E6618"/>
    <w:rsid w:val="006F2FDC"/>
    <w:rsid w:val="006F6357"/>
    <w:rsid w:val="00701AAD"/>
    <w:rsid w:val="00702A82"/>
    <w:rsid w:val="00710B07"/>
    <w:rsid w:val="00720E16"/>
    <w:rsid w:val="00733176"/>
    <w:rsid w:val="007416C3"/>
    <w:rsid w:val="0074203C"/>
    <w:rsid w:val="00744256"/>
    <w:rsid w:val="007606C2"/>
    <w:rsid w:val="00761B7C"/>
    <w:rsid w:val="00782D88"/>
    <w:rsid w:val="007A0DFE"/>
    <w:rsid w:val="007D1827"/>
    <w:rsid w:val="007D2874"/>
    <w:rsid w:val="007E6033"/>
    <w:rsid w:val="008137C9"/>
    <w:rsid w:val="00850348"/>
    <w:rsid w:val="00851F10"/>
    <w:rsid w:val="00871606"/>
    <w:rsid w:val="00887063"/>
    <w:rsid w:val="008878E5"/>
    <w:rsid w:val="008B7E1A"/>
    <w:rsid w:val="008C5354"/>
    <w:rsid w:val="008D147F"/>
    <w:rsid w:val="00925ACA"/>
    <w:rsid w:val="00930FB1"/>
    <w:rsid w:val="009568B9"/>
    <w:rsid w:val="009A2A38"/>
    <w:rsid w:val="009B297F"/>
    <w:rsid w:val="009D39A7"/>
    <w:rsid w:val="009E0079"/>
    <w:rsid w:val="00A27C33"/>
    <w:rsid w:val="00A36570"/>
    <w:rsid w:val="00A3688C"/>
    <w:rsid w:val="00A5415A"/>
    <w:rsid w:val="00A564F6"/>
    <w:rsid w:val="00A97465"/>
    <w:rsid w:val="00A977E6"/>
    <w:rsid w:val="00AA1B09"/>
    <w:rsid w:val="00AB4198"/>
    <w:rsid w:val="00AB69C5"/>
    <w:rsid w:val="00AF637A"/>
    <w:rsid w:val="00B11E6C"/>
    <w:rsid w:val="00B30FA4"/>
    <w:rsid w:val="00B3106A"/>
    <w:rsid w:val="00B37908"/>
    <w:rsid w:val="00B647B5"/>
    <w:rsid w:val="00B7608E"/>
    <w:rsid w:val="00B76239"/>
    <w:rsid w:val="00B86851"/>
    <w:rsid w:val="00B92F58"/>
    <w:rsid w:val="00B93BA5"/>
    <w:rsid w:val="00BA2138"/>
    <w:rsid w:val="00BA643C"/>
    <w:rsid w:val="00BB6926"/>
    <w:rsid w:val="00BC5D3B"/>
    <w:rsid w:val="00BD024E"/>
    <w:rsid w:val="00BD39C5"/>
    <w:rsid w:val="00BD53FE"/>
    <w:rsid w:val="00BE18A1"/>
    <w:rsid w:val="00C02081"/>
    <w:rsid w:val="00C70F6B"/>
    <w:rsid w:val="00C81BC2"/>
    <w:rsid w:val="00C923D9"/>
    <w:rsid w:val="00CA485C"/>
    <w:rsid w:val="00CE1F1E"/>
    <w:rsid w:val="00CE396C"/>
    <w:rsid w:val="00CF1F75"/>
    <w:rsid w:val="00CF50DD"/>
    <w:rsid w:val="00D10041"/>
    <w:rsid w:val="00D14A59"/>
    <w:rsid w:val="00D30876"/>
    <w:rsid w:val="00D31689"/>
    <w:rsid w:val="00D3487E"/>
    <w:rsid w:val="00D40898"/>
    <w:rsid w:val="00D72D6F"/>
    <w:rsid w:val="00DD3E5D"/>
    <w:rsid w:val="00DE16EF"/>
    <w:rsid w:val="00E25193"/>
    <w:rsid w:val="00E33FE1"/>
    <w:rsid w:val="00E40F90"/>
    <w:rsid w:val="00E460E1"/>
    <w:rsid w:val="00E52FCD"/>
    <w:rsid w:val="00E800A0"/>
    <w:rsid w:val="00E87609"/>
    <w:rsid w:val="00E96B21"/>
    <w:rsid w:val="00EB1628"/>
    <w:rsid w:val="00ED609A"/>
    <w:rsid w:val="00ED6E87"/>
    <w:rsid w:val="00F16352"/>
    <w:rsid w:val="00F67A04"/>
    <w:rsid w:val="00F74504"/>
    <w:rsid w:val="00F82AAD"/>
    <w:rsid w:val="00FA12B3"/>
    <w:rsid w:val="00FA164A"/>
    <w:rsid w:val="00FA549D"/>
    <w:rsid w:val="00FB45EA"/>
    <w:rsid w:val="00FB69B1"/>
    <w:rsid w:val="00FD770E"/>
    <w:rsid w:val="00FE1C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5D4308D"/>
  <w15:docId w15:val="{9A6BC1CC-7FE0-48AE-8F80-633CEDBDC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Times New Roman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0898"/>
  </w:style>
  <w:style w:type="paragraph" w:styleId="Heading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2F5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A12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12B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82AA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82AAD"/>
  </w:style>
  <w:style w:type="paragraph" w:styleId="Footer">
    <w:name w:val="footer"/>
    <w:basedOn w:val="Normal"/>
    <w:link w:val="FooterChar"/>
    <w:uiPriority w:val="99"/>
    <w:unhideWhenUsed/>
    <w:rsid w:val="00F82AA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82AAD"/>
  </w:style>
  <w:style w:type="table" w:customStyle="1" w:styleId="TableGrid1">
    <w:name w:val="Table Grid1"/>
    <w:basedOn w:val="TableNormal"/>
    <w:next w:val="TableGrid"/>
    <w:uiPriority w:val="59"/>
    <w:rsid w:val="00E40F9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E2D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68000-5D21-471C-A738-E1C8F6060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521</Words>
  <Characters>3002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Chau Le</dc:creator>
  <dc:description>Gnostice eDocEngine V2.5 (www.gnostice.com)</dc:description>
  <cp:lastModifiedBy>Danielle Barrow</cp:lastModifiedBy>
  <cp:revision>10</cp:revision>
  <dcterms:created xsi:type="dcterms:W3CDTF">2016-12-13T04:23:00Z</dcterms:created>
  <dcterms:modified xsi:type="dcterms:W3CDTF">2021-04-21T01:21:00Z</dcterms:modified>
</cp:coreProperties>
</file>