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8E19" w14:textId="61AB29B3" w:rsidR="00FE2165" w:rsidRPr="00056952" w:rsidRDefault="5CA09B62" w:rsidP="00FE2165">
      <w:pPr>
        <w:spacing w:after="0" w:line="276" w:lineRule="auto"/>
        <w:rPr>
          <w:b/>
          <w:bCs/>
          <w:sz w:val="32"/>
          <w:szCs w:val="32"/>
        </w:rPr>
      </w:pPr>
      <w:r w:rsidRPr="00544852">
        <w:rPr>
          <w:b/>
          <w:bCs/>
          <w:sz w:val="32"/>
          <w:szCs w:val="32"/>
        </w:rPr>
        <w:t xml:space="preserve">Craig Ross </w:t>
      </w:r>
      <w:r w:rsidR="00FE2165" w:rsidRPr="00544852">
        <w:rPr>
          <w:b/>
          <w:bCs/>
          <w:sz w:val="32"/>
          <w:szCs w:val="32"/>
        </w:rPr>
        <w:t>Superannuation</w:t>
      </w:r>
      <w:r w:rsidR="00FE2165" w:rsidRPr="3D039714">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38008B1C"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00544852">
        <w:rPr>
          <w:sz w:val="24"/>
          <w:szCs w:val="24"/>
        </w:rPr>
        <w:t>19</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72710342" w14:textId="53DB979C" w:rsidR="005C06AD" w:rsidRPr="006F67F7" w:rsidRDefault="004A3B3B" w:rsidP="00E112BE">
      <w:pPr>
        <w:spacing w:after="0" w:line="240" w:lineRule="auto"/>
      </w:pPr>
      <w:r w:rsidRPr="006F67F7">
        <w:t>Craig Ross</w:t>
      </w:r>
      <w:r w:rsidR="00FE2165" w:rsidRPr="006F67F7">
        <w:t xml:space="preserve"> is the sole member of the </w:t>
      </w:r>
      <w:r w:rsidRPr="006F67F7">
        <w:t>F</w:t>
      </w:r>
      <w:r w:rsidR="00FE2165" w:rsidRPr="006F67F7">
        <w:t xml:space="preserve">und. </w:t>
      </w:r>
      <w:r w:rsidRPr="006F67F7">
        <w:t xml:space="preserve">Craig </w:t>
      </w:r>
      <w:r w:rsidR="005C06AD" w:rsidRPr="006F67F7">
        <w:t xml:space="preserve">is </w:t>
      </w:r>
      <w:r w:rsidR="00C5362B" w:rsidRPr="006F67F7">
        <w:t>currently 64</w:t>
      </w:r>
      <w:r w:rsidR="005C06AD" w:rsidRPr="006F67F7">
        <w:t xml:space="preserve"> years of age and is eligible for retirement.  His/her member balance as </w:t>
      </w:r>
      <w:proofErr w:type="gramStart"/>
      <w:r w:rsidR="005C06AD" w:rsidRPr="006F67F7">
        <w:t>at</w:t>
      </w:r>
      <w:proofErr w:type="gramEnd"/>
      <w:r w:rsidR="005C06AD" w:rsidRPr="006F67F7">
        <w:t xml:space="preserve"> 30 June 20</w:t>
      </w:r>
      <w:r w:rsidR="006F67F7" w:rsidRPr="006F67F7">
        <w:t>18</w:t>
      </w:r>
      <w:r w:rsidR="005C06AD" w:rsidRPr="006F67F7">
        <w:t xml:space="preserve"> was $</w:t>
      </w:r>
      <w:r w:rsidR="006F67F7" w:rsidRPr="006F67F7">
        <w:t>1,104,306.66</w:t>
      </w:r>
      <w:r w:rsidR="005C06AD" w:rsidRPr="006F67F7">
        <w:t>.</w:t>
      </w:r>
      <w:r w:rsidR="00FE2165" w:rsidRPr="006F67F7">
        <w:t xml:space="preserve"> </w:t>
      </w:r>
    </w:p>
    <w:p w14:paraId="5B6D2EDE" w14:textId="77777777" w:rsidR="00FE2165" w:rsidRDefault="00FE2165"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2FA75469" w:rsidR="00766BCA" w:rsidRDefault="00766BCA" w:rsidP="00E112BE">
      <w:pPr>
        <w:spacing w:after="0" w:line="240" w:lineRule="auto"/>
      </w:pPr>
      <w:r w:rsidRPr="00E7609F">
        <w:t xml:space="preserve">The </w:t>
      </w:r>
      <w:r w:rsidR="00701D8F" w:rsidRPr="00E7609F">
        <w:t>Fund</w:t>
      </w:r>
      <w:r w:rsidRPr="00E7609F">
        <w:t xml:space="preserve"> has invested in </w:t>
      </w:r>
      <w:r w:rsidR="006F67F7" w:rsidRPr="00E7609F">
        <w:t>Australian listed securities</w:t>
      </w:r>
      <w:r w:rsidRPr="00E7609F">
        <w:t xml:space="preserve"> </w:t>
      </w:r>
      <w:proofErr w:type="gramStart"/>
      <w:r w:rsidRPr="00E7609F">
        <w:t>in order to</w:t>
      </w:r>
      <w:proofErr w:type="gramEnd"/>
      <w:r w:rsidRPr="00E7609F">
        <w:t xml:space="preserve"> earn regular </w:t>
      </w:r>
      <w:r w:rsidR="00E7609F" w:rsidRPr="00E7609F">
        <w:t>investment</w:t>
      </w:r>
      <w:r w:rsidRPr="00E7609F">
        <w:t xml:space="preserve"> 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proofErr w:type="gramStart"/>
      <w:r w:rsidR="0008015F" w:rsidRPr="0008015F">
        <w:t>With this in mind, the</w:t>
      </w:r>
      <w:proofErr w:type="gramEnd"/>
      <w:r w:rsidR="0008015F" w:rsidRPr="0008015F">
        <w:t xml:space="preserv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 xml:space="preserve">In </w:t>
      </w:r>
      <w:proofErr w:type="gramStart"/>
      <w:r w:rsidRPr="00701D8F">
        <w:t>making a decision</w:t>
      </w:r>
      <w:proofErr w:type="gramEnd"/>
      <w:r w:rsidRPr="00701D8F">
        <w:t xml:space="preserve"> on the types of investments made by the Fund, the Trustees have consulted with the members in this regard.  They have </w:t>
      </w:r>
      <w:proofErr w:type="gramStart"/>
      <w:r w:rsidRPr="00701D8F">
        <w:t>taken into account</w:t>
      </w:r>
      <w:proofErr w:type="gramEnd"/>
      <w:r w:rsidRPr="00701D8F">
        <w:t xml:space="preserve"> the members overall risk profile and their concerns about various investment opportunities.</w:t>
      </w:r>
    </w:p>
    <w:p w14:paraId="0FDD1ECD" w14:textId="77777777" w:rsidR="00701D8F" w:rsidRDefault="00701D8F" w:rsidP="005C06AD">
      <w:pPr>
        <w:spacing w:after="0" w:line="240" w:lineRule="auto"/>
      </w:pPr>
    </w:p>
    <w:p w14:paraId="52219B48" w14:textId="010C16B9" w:rsidR="00E112BE" w:rsidRDefault="005C06AD" w:rsidP="005C06AD">
      <w:pPr>
        <w:spacing w:after="0" w:line="240" w:lineRule="auto"/>
      </w:pPr>
      <w:r w:rsidRPr="00E752BE">
        <w:t xml:space="preserve">After discussions with the members of the </w:t>
      </w:r>
      <w:r w:rsidR="00701D8F" w:rsidRPr="00E752BE">
        <w:t>Fund</w:t>
      </w:r>
      <w:r w:rsidRPr="00E752BE">
        <w:t xml:space="preserve">, the Trustees have determined that they will invest most of the </w:t>
      </w:r>
      <w:r w:rsidR="00701D8F" w:rsidRPr="00E752BE">
        <w:t>Fund</w:t>
      </w:r>
      <w:r w:rsidRPr="00E752BE">
        <w:t xml:space="preserve"> </w:t>
      </w:r>
      <w:r w:rsidR="00E7609F" w:rsidRPr="00E752BE">
        <w:t>in Australian listed securities</w:t>
      </w:r>
      <w:r w:rsidR="00E752BE" w:rsidRPr="00E752BE">
        <w:t>.</w:t>
      </w:r>
    </w:p>
    <w:p w14:paraId="12E8C0B5" w14:textId="77777777" w:rsidR="005C06AD" w:rsidRDefault="005C06AD" w:rsidP="005C06AD">
      <w:pPr>
        <w:spacing w:after="0" w:line="240" w:lineRule="auto"/>
        <w:rPr>
          <w:rFonts w:eastAsia="Times New Roman" w:cs="Times New Roman"/>
          <w:b/>
          <w:bCs/>
          <w:lang w:eastAsia="en-AU"/>
        </w:rPr>
      </w:pPr>
    </w:p>
    <w:p w14:paraId="0594B58F" w14:textId="77777777" w:rsidR="00B84E01" w:rsidRDefault="00B84E01" w:rsidP="00E112BE">
      <w:pPr>
        <w:spacing w:after="0" w:line="240" w:lineRule="auto"/>
        <w:rPr>
          <w:rFonts w:eastAsia="Times New Roman" w:cs="Times New Roman"/>
          <w:b/>
          <w:bCs/>
          <w:lang w:eastAsia="en-AU"/>
        </w:rPr>
      </w:pPr>
    </w:p>
    <w:p w14:paraId="7E35113B" w14:textId="77777777" w:rsidR="00E752BE" w:rsidRDefault="00E752BE">
      <w:pPr>
        <w:rPr>
          <w:rFonts w:eastAsia="Times New Roman" w:cs="Times New Roman"/>
          <w:b/>
          <w:bCs/>
          <w:lang w:eastAsia="en-AU"/>
        </w:rPr>
      </w:pPr>
      <w:r>
        <w:rPr>
          <w:rFonts w:eastAsia="Times New Roman" w:cs="Times New Roman"/>
          <w:b/>
          <w:bCs/>
          <w:lang w:eastAsia="en-AU"/>
        </w:rPr>
        <w:br w:type="page"/>
      </w:r>
    </w:p>
    <w:p w14:paraId="5CBCEF3F" w14:textId="7169AD95"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w:t>
      </w:r>
      <w:proofErr w:type="gramStart"/>
      <w:r w:rsidRPr="00E112BE">
        <w:rPr>
          <w:rFonts w:eastAsia="Times New Roman" w:cs="Times New Roman"/>
          <w:lang w:eastAsia="en-AU"/>
        </w:rPr>
        <w:t>and also</w:t>
      </w:r>
      <w:proofErr w:type="gramEnd"/>
      <w:r w:rsidRPr="00E112BE">
        <w:rPr>
          <w:rFonts w:eastAsia="Times New Roman" w:cs="Times New Roman"/>
          <w:lang w:eastAsia="en-AU"/>
        </w:rPr>
        <w:t xml:space="preserve">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174E79" w:rsidRDefault="00701D8F" w:rsidP="00E112BE">
      <w:pPr>
        <w:spacing w:after="0" w:line="240" w:lineRule="auto"/>
        <w:rPr>
          <w:rFonts w:eastAsia="Times New Roman" w:cs="Times New Roman"/>
          <w:lang w:eastAsia="en-AU"/>
        </w:rPr>
      </w:pPr>
      <w:r w:rsidRPr="00174E79">
        <w:rPr>
          <w:rFonts w:eastAsia="Times New Roman" w:cs="Times New Roman"/>
          <w:lang w:eastAsia="en-AU"/>
        </w:rPr>
        <w:t xml:space="preserve">The Trustees are aware that once members reach pension age, are temporarily or permanently </w:t>
      </w:r>
      <w:r w:rsidR="00B84E01" w:rsidRPr="00174E79">
        <w:rPr>
          <w:rFonts w:eastAsia="Times New Roman" w:cs="Times New Roman"/>
          <w:lang w:eastAsia="en-AU"/>
        </w:rPr>
        <w:t>disabled</w:t>
      </w:r>
      <w:r w:rsidRPr="00174E79">
        <w:rPr>
          <w:rFonts w:eastAsia="Times New Roman" w:cs="Times New Roman"/>
          <w:lang w:eastAsia="en-AU"/>
        </w:rPr>
        <w:t xml:space="preserve"> or they will need to withdraw</w:t>
      </w:r>
      <w:r w:rsidR="00B84E01" w:rsidRPr="00174E79">
        <w:rPr>
          <w:rFonts w:eastAsia="Times New Roman" w:cs="Times New Roman"/>
          <w:lang w:eastAsia="en-AU"/>
        </w:rPr>
        <w:t xml:space="preserve"> from the Fund due to compassionate or other grounds, the Fun</w:t>
      </w:r>
      <w:r w:rsidR="00B21FDB" w:rsidRPr="00174E79">
        <w:rPr>
          <w:rFonts w:eastAsia="Times New Roman" w:cs="Times New Roman"/>
          <w:lang w:eastAsia="en-AU"/>
        </w:rPr>
        <w:t>d</w:t>
      </w:r>
      <w:r w:rsidR="00B84E01" w:rsidRPr="00174E79">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77A77A57" w:rsidR="00FE2165" w:rsidRDefault="00B84E01" w:rsidP="009F3DE3">
      <w:pPr>
        <w:spacing w:after="0"/>
      </w:pPr>
      <w:r w:rsidRPr="00B84E01">
        <w:t xml:space="preserve">The </w:t>
      </w:r>
      <w:r>
        <w:t>F</w:t>
      </w:r>
      <w:r w:rsidRPr="00B84E01">
        <w:t>und</w:t>
      </w:r>
      <w:r>
        <w:t>’</w:t>
      </w:r>
      <w:r w:rsidRPr="00B84E01">
        <w:t>s asset classes as at the beginning of the year (1st July 20</w:t>
      </w:r>
      <w:r w:rsidR="00174E79">
        <w:t>17</w:t>
      </w:r>
      <w:r w:rsidRPr="00B84E01">
        <w:t>) and as close of the year (30th June 20</w:t>
      </w:r>
      <w:r w:rsidR="00174E79">
        <w:t>18</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3FCE8574" w:rsidR="00FE2165" w:rsidRDefault="00FE2165" w:rsidP="00C60B05">
            <w:pPr>
              <w:jc w:val="right"/>
              <w:rPr>
                <w:b/>
                <w:bCs/>
              </w:rPr>
            </w:pPr>
            <w:r>
              <w:rPr>
                <w:b/>
                <w:bCs/>
              </w:rPr>
              <w:t>Assets 1/07/20</w:t>
            </w:r>
            <w:r w:rsidR="00850807">
              <w:rPr>
                <w:b/>
                <w:bCs/>
              </w:rPr>
              <w:t>2</w:t>
            </w:r>
            <w:r w:rsidR="00CE06BF">
              <w:rPr>
                <w:b/>
                <w:bCs/>
              </w:rPr>
              <w:t>1</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3E2A8C26" w:rsidR="00FE2165" w:rsidRDefault="00FE2165" w:rsidP="00C60B05">
            <w:pPr>
              <w:jc w:val="right"/>
              <w:rPr>
                <w:b/>
                <w:bCs/>
              </w:rPr>
            </w:pPr>
            <w:r>
              <w:rPr>
                <w:b/>
                <w:bCs/>
              </w:rPr>
              <w:t>30/06/202</w:t>
            </w:r>
            <w:r w:rsidR="00CE06BF">
              <w:rPr>
                <w:b/>
                <w:bCs/>
              </w:rPr>
              <w:t>2</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29CA04A6" w:rsidR="00FE2165" w:rsidRPr="00550E2E" w:rsidRDefault="0076458D" w:rsidP="00C60B05">
            <w:pPr>
              <w:jc w:val="right"/>
            </w:pPr>
            <w:r>
              <w:t>943,907</w:t>
            </w:r>
          </w:p>
        </w:tc>
        <w:tc>
          <w:tcPr>
            <w:tcW w:w="1693" w:type="dxa"/>
            <w:vAlign w:val="bottom"/>
          </w:tcPr>
          <w:p w14:paraId="3100AB6C" w14:textId="1CCDF171" w:rsidR="00FE2165" w:rsidRPr="00550E2E" w:rsidRDefault="0076458D" w:rsidP="00C60B05">
            <w:pPr>
              <w:jc w:val="right"/>
            </w:pPr>
            <w:r>
              <w:t>1,067,303</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60E6DE7F" w:rsidR="00FE2165" w:rsidRPr="00550E2E" w:rsidRDefault="00861B47" w:rsidP="00C60B05">
            <w:pPr>
              <w:spacing w:line="259" w:lineRule="auto"/>
              <w:jc w:val="center"/>
            </w:pPr>
            <w:r>
              <w:t>70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AF104F6" w:rsidR="00FE2165" w:rsidRPr="00550E2E" w:rsidRDefault="00861B47" w:rsidP="00C60B05">
            <w:pPr>
              <w:spacing w:line="259" w:lineRule="auto"/>
              <w:jc w:val="center"/>
            </w:pPr>
            <w:r>
              <w:t>100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022806EA" w:rsidR="00FE2165" w:rsidRDefault="00861B47" w:rsidP="00C60B05">
            <w:pPr>
              <w:jc w:val="right"/>
            </w:pPr>
            <w:r>
              <w:t>982</w:t>
            </w:r>
          </w:p>
        </w:tc>
        <w:tc>
          <w:tcPr>
            <w:tcW w:w="1693" w:type="dxa"/>
            <w:vAlign w:val="bottom"/>
          </w:tcPr>
          <w:p w14:paraId="23317656" w14:textId="0EDF4FC4" w:rsidR="00FE2165" w:rsidRDefault="00861B47" w:rsidP="00C60B05">
            <w:pPr>
              <w:jc w:val="right"/>
            </w:pPr>
            <w:r>
              <w:t>10,488</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4B582EBA" w:rsidR="00FE2165" w:rsidRPr="00550E2E" w:rsidRDefault="00861B47"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A6D0B5A" w:rsidR="00FE2165" w:rsidRPr="00550E2E" w:rsidRDefault="00861B47"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35A66028" w14:textId="77777777" w:rsidR="00861B47" w:rsidRDefault="00861B47">
      <w:pPr>
        <w:rPr>
          <w:b/>
          <w:bCs/>
        </w:rPr>
      </w:pPr>
      <w:r>
        <w:rPr>
          <w:b/>
          <w:bCs/>
        </w:rPr>
        <w:br w:type="page"/>
      </w:r>
    </w:p>
    <w:p w14:paraId="6CCC5718" w14:textId="2803D245"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0FA9B4E4" w:rsidR="00861B47" w:rsidRDefault="00FB37CB" w:rsidP="00861B47">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23DDAD6F" w14:textId="45D2D030" w:rsidR="00821B17" w:rsidRDefault="00821B17" w:rsidP="00FB37CB">
      <w:pPr>
        <w:spacing w:after="0"/>
      </w:pPr>
      <w:r>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25527894"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861B47" w:rsidRPr="00861B47">
        <w:t>22</w:t>
      </w:r>
      <w:r w:rsidR="00850807" w:rsidRPr="00861B47">
        <w:t xml:space="preserve"> / 0</w:t>
      </w:r>
      <w:r w:rsidR="00861B47" w:rsidRPr="00861B47">
        <w:t>6</w:t>
      </w:r>
      <w:r w:rsidR="00850807" w:rsidRPr="00861B47">
        <w:t xml:space="preserve"> / </w:t>
      </w:r>
      <w:proofErr w:type="gramStart"/>
      <w:r w:rsidR="00850807" w:rsidRPr="00861B47">
        <w:t>202</w:t>
      </w:r>
      <w:r w:rsidR="00861B47" w:rsidRPr="00861B47">
        <w:t>3</w:t>
      </w:r>
      <w:proofErr w:type="gramEnd"/>
    </w:p>
    <w:p w14:paraId="5957D067" w14:textId="77777777" w:rsidR="00FE2165" w:rsidRPr="00550E2E" w:rsidRDefault="00FE2165" w:rsidP="00FE2165">
      <w:pPr>
        <w:spacing w:after="0"/>
      </w:pPr>
    </w:p>
    <w:p w14:paraId="54B5081E" w14:textId="77777777" w:rsidR="00FE2165" w:rsidRDefault="00FE2165" w:rsidP="00FE2165">
      <w:pPr>
        <w:spacing w:after="0"/>
      </w:pPr>
    </w:p>
    <w:p w14:paraId="09847F42" w14:textId="77777777" w:rsidR="0085457E" w:rsidRDefault="0085457E" w:rsidP="00FE2165">
      <w:pPr>
        <w:spacing w:after="0"/>
      </w:pPr>
    </w:p>
    <w:p w14:paraId="59B2B85D" w14:textId="77777777" w:rsidR="0085457E" w:rsidRDefault="0085457E" w:rsidP="00FE2165">
      <w:pPr>
        <w:spacing w:after="0"/>
      </w:pPr>
    </w:p>
    <w:p w14:paraId="13D214F5" w14:textId="77777777" w:rsidR="0085457E" w:rsidRPr="00550E2E" w:rsidRDefault="0085457E"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C60B05">
        <w:tc>
          <w:tcPr>
            <w:tcW w:w="4395" w:type="dxa"/>
            <w:tcBorders>
              <w:bottom w:val="nil"/>
            </w:tcBorders>
          </w:tcPr>
          <w:p w14:paraId="44E33FEA" w14:textId="20D4A0C9" w:rsidR="00EF7BEA" w:rsidRDefault="00861B47" w:rsidP="00C60B05">
            <w:pPr>
              <w:spacing w:line="259" w:lineRule="auto"/>
            </w:pPr>
            <w:r>
              <w:t>Craig Ross</w:t>
            </w:r>
          </w:p>
          <w:p w14:paraId="6E6F5720" w14:textId="24F8DFEF" w:rsidR="00FE2165" w:rsidRPr="0019581D" w:rsidRDefault="00861B47" w:rsidP="00C60B05">
            <w:pPr>
              <w:spacing w:line="259" w:lineRule="auto"/>
            </w:pPr>
            <w:r>
              <w:t xml:space="preserve">Director </w:t>
            </w:r>
            <w:r w:rsidR="002E3E98">
              <w:t>–</w:t>
            </w:r>
            <w:r>
              <w:t xml:space="preserve"> </w:t>
            </w:r>
            <w:r w:rsidR="002E3E98">
              <w:t>Koala Resort Pty Ltd</w:t>
            </w:r>
          </w:p>
        </w:tc>
        <w:tc>
          <w:tcPr>
            <w:tcW w:w="283" w:type="dxa"/>
            <w:tcBorders>
              <w:top w:val="nil"/>
              <w:bottom w:val="nil"/>
            </w:tcBorders>
          </w:tcPr>
          <w:p w14:paraId="406E48EE" w14:textId="77777777" w:rsidR="00FE2165" w:rsidRPr="0019581D" w:rsidRDefault="00FE2165" w:rsidP="00C60B05"/>
        </w:tc>
      </w:tr>
    </w:tbl>
    <w:p w14:paraId="5CB369B2" w14:textId="77777777" w:rsidR="00FE2165" w:rsidRPr="00EF7BEA" w:rsidRDefault="00FE2165">
      <w:pPr>
        <w:rPr>
          <w:b/>
          <w:bCs/>
          <w:highlight w:val="yellow"/>
        </w:rPr>
      </w:pPr>
      <w:r w:rsidRPr="00EF7BEA">
        <w:rPr>
          <w:b/>
          <w:bCs/>
          <w:highlight w:val="yellow"/>
        </w:rPr>
        <w:br w:type="page"/>
      </w:r>
    </w:p>
    <w:p w14:paraId="7639DFE9" w14:textId="258E7766" w:rsidR="00FE2165" w:rsidRPr="00056952" w:rsidRDefault="00861B47" w:rsidP="00FE2165">
      <w:pPr>
        <w:spacing w:after="0" w:line="276" w:lineRule="auto"/>
        <w:rPr>
          <w:b/>
          <w:bCs/>
          <w:sz w:val="32"/>
          <w:szCs w:val="32"/>
        </w:rPr>
      </w:pPr>
      <w:r>
        <w:rPr>
          <w:b/>
          <w:bCs/>
          <w:sz w:val="32"/>
          <w:szCs w:val="32"/>
        </w:rPr>
        <w:lastRenderedPageBreak/>
        <w:t>Craig Ross</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212C92B8"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0085457E">
        <w:rPr>
          <w:sz w:val="24"/>
          <w:szCs w:val="24"/>
        </w:rPr>
        <w:t>19</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48F1AB90" w:rsidR="00FE2165" w:rsidRDefault="00FE2165" w:rsidP="00C60B05">
            <w:r>
              <w:t>The investment strategy for the financial year 20</w:t>
            </w:r>
            <w:r w:rsidR="0085457E">
              <w:t>18</w:t>
            </w:r>
            <w:r>
              <w:t xml:space="preserve"> - </w:t>
            </w:r>
            <w:r w:rsidR="0085457E">
              <w:t>19</w:t>
            </w:r>
            <w:r>
              <w:t>,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 xml:space="preserve">Have Trustees considered the risk involved in making, </w:t>
            </w:r>
            <w:proofErr w:type="gramStart"/>
            <w:r>
              <w:t>holding</w:t>
            </w:r>
            <w:proofErr w:type="gramEnd"/>
            <w:r>
              <w:t xml:space="preserve">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 xml:space="preserve">Current volatility and investment climate in local and international share market - loss of </w:t>
            </w:r>
            <w:proofErr w:type="gramStart"/>
            <w:r>
              <w:t>capital;</w:t>
            </w:r>
            <w:proofErr w:type="gramEnd"/>
          </w:p>
          <w:p w14:paraId="0A4B0D2D" w14:textId="77777777" w:rsidR="00FE2165" w:rsidRDefault="00FE2165" w:rsidP="00C60B05">
            <w:pPr>
              <w:pStyle w:val="ListParagraph"/>
              <w:numPr>
                <w:ilvl w:val="0"/>
                <w:numId w:val="2"/>
              </w:numPr>
            </w:pPr>
            <w:r>
              <w:t xml:space="preserve">Low interest rates offered by deposit taking entities &amp; </w:t>
            </w:r>
            <w:proofErr w:type="gramStart"/>
            <w:r>
              <w:t>Banks;</w:t>
            </w:r>
            <w:proofErr w:type="gramEnd"/>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 xml:space="preserve">Have Trustees considered the liquidity of the Fund's investments having regard to its expected cash flow requirements in the next two years and considered the </w:t>
            </w:r>
            <w:proofErr w:type="gramStart"/>
            <w:r>
              <w:t>following;</w:t>
            </w:r>
            <w:proofErr w:type="gramEnd"/>
          </w:p>
          <w:p w14:paraId="7BEA07D4" w14:textId="77777777" w:rsidR="00FE2165" w:rsidRDefault="00FE2165" w:rsidP="00C60B05">
            <w:pPr>
              <w:pStyle w:val="ListParagraph"/>
              <w:numPr>
                <w:ilvl w:val="0"/>
                <w:numId w:val="4"/>
              </w:numPr>
            </w:pPr>
            <w:r>
              <w:t xml:space="preserve">Ability of the fund to discharge its existing and future </w:t>
            </w:r>
            <w:proofErr w:type="gramStart"/>
            <w:r>
              <w:t>liabilities;</w:t>
            </w:r>
            <w:proofErr w:type="gramEnd"/>
          </w:p>
          <w:p w14:paraId="5C3B4F51" w14:textId="77777777" w:rsidR="00FE2165" w:rsidRDefault="00FE2165" w:rsidP="00C60B05">
            <w:pPr>
              <w:pStyle w:val="ListParagraph"/>
              <w:numPr>
                <w:ilvl w:val="0"/>
                <w:numId w:val="4"/>
              </w:numPr>
            </w:pPr>
            <w:r>
              <w:t xml:space="preserve">Ability of the fund to make any LRBA loan repayments considering anticipated contributions from </w:t>
            </w:r>
            <w:proofErr w:type="gramStart"/>
            <w:r>
              <w:t>members;</w:t>
            </w:r>
            <w:proofErr w:type="gramEnd"/>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3EE5169" w:rsidR="00FE2165" w:rsidRDefault="00FE2165" w:rsidP="00C60B05">
            <w:r>
              <w:t xml:space="preserve">Date:   </w:t>
            </w:r>
            <w:r w:rsidR="00850807" w:rsidRPr="002E3E98">
              <w:t>2</w:t>
            </w:r>
            <w:r w:rsidR="002E3E98" w:rsidRPr="002E3E98">
              <w:t>2</w:t>
            </w:r>
            <w:r w:rsidR="00850807" w:rsidRPr="002E3E98">
              <w:t xml:space="preserve"> / 0</w:t>
            </w:r>
            <w:r w:rsidR="002E3E98" w:rsidRPr="002E3E98">
              <w:t>6</w:t>
            </w:r>
            <w:r w:rsidR="00850807" w:rsidRPr="002E3E98">
              <w:t xml:space="preserve"> / 202</w:t>
            </w:r>
            <w:r w:rsidR="002E3E98" w:rsidRPr="002E3E98">
              <w:t>3</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59489E71" w14:textId="77777777" w:rsidR="00FE2165" w:rsidRDefault="00FE2165" w:rsidP="00C60B05"/>
          <w:p w14:paraId="7B491C41" w14:textId="77777777" w:rsidR="0085457E" w:rsidRDefault="0085457E" w:rsidP="00C60B05"/>
          <w:p w14:paraId="79C12900" w14:textId="77777777" w:rsidR="0085457E" w:rsidRDefault="0085457E" w:rsidP="00C60B05"/>
          <w:p w14:paraId="27E12BE2" w14:textId="77777777" w:rsidR="0085457E" w:rsidRDefault="0085457E" w:rsidP="00C60B05"/>
          <w:p w14:paraId="0BE664B6" w14:textId="77777777" w:rsidR="0085457E" w:rsidRDefault="0085457E"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0E1E4F99" w14:textId="77777777" w:rsidR="002E3E98" w:rsidRDefault="002E3E98" w:rsidP="002E3E98">
            <w:pPr>
              <w:spacing w:line="259" w:lineRule="auto"/>
            </w:pPr>
            <w:r>
              <w:t>Craig Ross</w:t>
            </w:r>
          </w:p>
          <w:p w14:paraId="2C3ED91C" w14:textId="3BE048E5" w:rsidR="00FE2165" w:rsidRPr="004B3259" w:rsidRDefault="002E3E98" w:rsidP="002E3E98">
            <w:r>
              <w:t>Director – Koala Resort Pty Ltd</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16cid:durableId="1463690420">
    <w:abstractNumId w:val="2"/>
  </w:num>
  <w:num w:numId="2" w16cid:durableId="535778559">
    <w:abstractNumId w:val="0"/>
  </w:num>
  <w:num w:numId="3" w16cid:durableId="1561861564">
    <w:abstractNumId w:val="3"/>
  </w:num>
  <w:num w:numId="4" w16cid:durableId="1114714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4E79"/>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3E98"/>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3B3B"/>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44852"/>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6F67F7"/>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458D"/>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57E"/>
    <w:rsid w:val="00854EE4"/>
    <w:rsid w:val="0086087C"/>
    <w:rsid w:val="00861B47"/>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362B"/>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06BF"/>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2BE"/>
    <w:rsid w:val="00E75B3A"/>
    <w:rsid w:val="00E7609F"/>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 w:val="3D039714"/>
    <w:rsid w:val="5CA09B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9daec0-3f85-4f7a-9798-63894498ffdd" xsi:nil="true"/>
    <lcf76f155ced4ddcb4097134ff3c332f xmlns="171baf46-e54f-4960-9045-6796342ce2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5" ma:contentTypeDescription="Create a new document." ma:contentTypeScope="" ma:versionID="1502f8eb40ac21d2bb52c8e8317d8d71">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1a02e04d2ccf5e55204be570b98f0160"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7b60950-52b2-48e1-8500-f9c3f8bf5d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7b43c88-df1a-4660-93c9-ad59f2a0c450}" ma:internalName="TaxCatchAll" ma:showField="CatchAllData" ma:web="929daec0-3f85-4f7a-9798-63894498f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99B9C8-6C69-4F6A-AE3E-54738E38C071}">
  <ds:schemaRefs>
    <ds:schemaRef ds:uri="http://schemas.microsoft.com/office/2006/metadata/properties"/>
    <ds:schemaRef ds:uri="http://schemas.microsoft.com/office/infopath/2007/PartnerControls"/>
    <ds:schemaRef ds:uri="929daec0-3f85-4f7a-9798-63894498ffdd"/>
    <ds:schemaRef ds:uri="171baf46-e54f-4960-9045-6796342ce211"/>
  </ds:schemaRefs>
</ds:datastoreItem>
</file>

<file path=customXml/itemProps2.xml><?xml version="1.0" encoding="utf-8"?>
<ds:datastoreItem xmlns:ds="http://schemas.openxmlformats.org/officeDocument/2006/customXml" ds:itemID="{BD1C5230-6714-4104-AD16-4DDA71411041}">
  <ds:schemaRefs>
    <ds:schemaRef ds:uri="http://schemas.microsoft.com/sharepoint/v3/contenttype/forms"/>
  </ds:schemaRefs>
</ds:datastoreItem>
</file>

<file path=customXml/itemProps3.xml><?xml version="1.0" encoding="utf-8"?>
<ds:datastoreItem xmlns:ds="http://schemas.openxmlformats.org/officeDocument/2006/customXml" ds:itemID="{CA47B2B1-C256-456F-9E7F-5F23EC7E4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baf46-e54f-4960-9045-6796342ce211"/>
    <ds:schemaRef ds:uri="929daec0-3f85-4f7a-9798-63894498f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959</Words>
  <Characters>5472</Characters>
  <Application>Microsoft Office Word</Application>
  <DocSecurity>0</DocSecurity>
  <Lines>45</Lines>
  <Paragraphs>12</Paragraphs>
  <ScaleCrop>false</ScaleCrop>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20</cp:revision>
  <dcterms:created xsi:type="dcterms:W3CDTF">2020-05-05T03:47:00Z</dcterms:created>
  <dcterms:modified xsi:type="dcterms:W3CDTF">2023-06-22T02:12:00Z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y fmtid="{D5CDD505-2E9C-101B-9397-08002B2CF9AE}" pid="3" name="Order">
    <vt:r8>2299400</vt:r8>
  </property>
  <property fmtid="{D5CDD505-2E9C-101B-9397-08002B2CF9AE}" pid="4" name="MediaServiceImageTags">
    <vt:lpwstr/>
  </property>
</Properties>
</file>