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0BC36" w14:textId="77777777" w:rsidR="00B65838" w:rsidRPr="00B65838" w:rsidRDefault="00B65838" w:rsidP="00584D4A">
      <w:pPr>
        <w:pStyle w:val="Heading1"/>
        <w:jc w:val="left"/>
        <w:rPr>
          <w:b w:val="0"/>
        </w:rPr>
      </w:pPr>
    </w:p>
    <w:p w14:paraId="7F415847" w14:textId="77777777" w:rsidR="00B65838" w:rsidRDefault="00B65838" w:rsidP="00584D4A">
      <w:pPr>
        <w:pStyle w:val="Heading1"/>
        <w:jc w:val="left"/>
      </w:pPr>
    </w:p>
    <w:p w14:paraId="08E494E1" w14:textId="79ACD7C6" w:rsidR="00A25F4B" w:rsidRDefault="00A25F4B" w:rsidP="00584D4A">
      <w:pPr>
        <w:pStyle w:val="Heading1"/>
        <w:jc w:val="left"/>
      </w:pPr>
      <w:r>
        <w:t xml:space="preserve">MINUTES OF THE MEETING OF </w:t>
      </w:r>
      <w:r w:rsidR="00584D4A">
        <w:t>THE TRUSTEES</w:t>
      </w:r>
      <w:r w:rsidR="00584D4A">
        <w:br/>
      </w:r>
      <w:r w:rsidR="0098726B">
        <w:t>ABA INVESTMENTS FUND</w:t>
      </w:r>
      <w:r>
        <w:t>.</w:t>
      </w:r>
    </w:p>
    <w:p w14:paraId="44304398" w14:textId="77777777" w:rsidR="00A25F4B" w:rsidRPr="00A25F4B" w:rsidRDefault="00A25F4B" w:rsidP="00A25F4B"/>
    <w:p w14:paraId="0A9DFF7B" w14:textId="48BD3DE1" w:rsidR="00A25F4B" w:rsidRDefault="00A25F4B" w:rsidP="00A25F4B">
      <w:pPr>
        <w:pStyle w:val="Heading3"/>
      </w:pPr>
      <w:r>
        <w:t xml:space="preserve">Venue: </w:t>
      </w:r>
      <w:r w:rsidR="0098726B">
        <w:t>37 Ashton Street</w:t>
      </w:r>
      <w:r w:rsidR="00283C00">
        <w:t xml:space="preserve">, </w:t>
      </w:r>
      <w:r w:rsidR="0098726B">
        <w:t>Queens Park</w:t>
      </w:r>
      <w:r w:rsidR="00283C00">
        <w:t xml:space="preserve">, </w:t>
      </w:r>
      <w:r w:rsidR="0098726B">
        <w:t>NSW 2022</w:t>
      </w:r>
      <w:r w:rsidR="00283C00">
        <w:t>.</w:t>
      </w:r>
    </w:p>
    <w:p w14:paraId="6A5EBC51" w14:textId="4C94E26D" w:rsidR="00A25F4B" w:rsidRDefault="00A25F4B" w:rsidP="00A25F4B">
      <w:pPr>
        <w:rPr>
          <w:b/>
          <w:bCs/>
          <w:lang w:val="en-US"/>
        </w:rPr>
      </w:pPr>
      <w:r>
        <w:rPr>
          <w:b/>
          <w:bCs/>
          <w:lang w:val="en-US"/>
        </w:rPr>
        <w:t>Date:</w:t>
      </w:r>
      <w:r w:rsidR="00283C00">
        <w:rPr>
          <w:b/>
          <w:bCs/>
          <w:lang w:val="en-US"/>
        </w:rPr>
        <w:t xml:space="preserve"> </w:t>
      </w:r>
      <w:r w:rsidR="006212F0">
        <w:rPr>
          <w:b/>
          <w:bCs/>
          <w:lang w:val="en-US"/>
        </w:rPr>
        <w:t>30/06/2021</w:t>
      </w:r>
    </w:p>
    <w:p w14:paraId="4F6B56D4" w14:textId="092E25A9" w:rsidR="00CC595E" w:rsidRDefault="00CC595E" w:rsidP="00A25F4B">
      <w:pPr>
        <w:rPr>
          <w:b/>
          <w:bCs/>
          <w:lang w:val="en-US"/>
        </w:rPr>
      </w:pPr>
      <w:r>
        <w:rPr>
          <w:b/>
          <w:bCs/>
          <w:lang w:val="en-US"/>
        </w:rPr>
        <w:t xml:space="preserve">Trustees: </w:t>
      </w:r>
      <w:r w:rsidR="0098726B">
        <w:rPr>
          <w:b/>
          <w:bCs/>
          <w:lang w:val="en-US"/>
        </w:rPr>
        <w:t xml:space="preserve">Bruce </w:t>
      </w:r>
      <w:proofErr w:type="spellStart"/>
      <w:r w:rsidR="0098726B">
        <w:rPr>
          <w:b/>
          <w:bCs/>
          <w:lang w:val="en-US"/>
        </w:rPr>
        <w:t>Apted</w:t>
      </w:r>
      <w:proofErr w:type="spellEnd"/>
      <w:r w:rsidR="0098726B">
        <w:rPr>
          <w:b/>
          <w:bCs/>
          <w:lang w:val="en-US"/>
        </w:rPr>
        <w:t xml:space="preserve"> and Amanda </w:t>
      </w:r>
      <w:proofErr w:type="spellStart"/>
      <w:r w:rsidR="0098726B">
        <w:rPr>
          <w:b/>
          <w:bCs/>
          <w:lang w:val="en-US"/>
        </w:rPr>
        <w:t>Apted</w:t>
      </w:r>
      <w:proofErr w:type="spellEnd"/>
    </w:p>
    <w:p w14:paraId="63EECFF7" w14:textId="6E75D989" w:rsidR="00A25F4B" w:rsidRPr="00283C00" w:rsidRDefault="00A25F4B" w:rsidP="00A25F4B">
      <w:pPr>
        <w:rPr>
          <w:b/>
          <w:bCs/>
          <w:szCs w:val="20"/>
          <w:lang w:val="en-US"/>
        </w:rPr>
      </w:pPr>
      <w:r>
        <w:rPr>
          <w:b/>
          <w:bCs/>
          <w:lang w:val="en-US"/>
        </w:rPr>
        <w:t>Present:</w:t>
      </w:r>
      <w:r w:rsidR="00283C00">
        <w:rPr>
          <w:b/>
          <w:bCs/>
          <w:lang w:val="en-US"/>
        </w:rPr>
        <w:t xml:space="preserve"> </w:t>
      </w:r>
      <w:r w:rsidR="0098726B">
        <w:rPr>
          <w:b/>
          <w:bCs/>
          <w:szCs w:val="20"/>
          <w:lang w:val="en-US"/>
        </w:rPr>
        <w:t xml:space="preserve">Bruce </w:t>
      </w:r>
      <w:proofErr w:type="spellStart"/>
      <w:r w:rsidR="0098726B">
        <w:rPr>
          <w:b/>
          <w:bCs/>
          <w:szCs w:val="20"/>
          <w:lang w:val="en-US"/>
        </w:rPr>
        <w:t>Apted</w:t>
      </w:r>
      <w:proofErr w:type="spellEnd"/>
      <w:r w:rsidR="0098726B">
        <w:rPr>
          <w:b/>
          <w:bCs/>
          <w:szCs w:val="20"/>
          <w:lang w:val="en-US"/>
        </w:rPr>
        <w:t xml:space="preserve"> and Amanda </w:t>
      </w:r>
      <w:proofErr w:type="spellStart"/>
      <w:r w:rsidR="0098726B">
        <w:rPr>
          <w:b/>
          <w:bCs/>
          <w:szCs w:val="20"/>
          <w:lang w:val="en-US"/>
        </w:rPr>
        <w:t>Apted</w:t>
      </w:r>
      <w:proofErr w:type="spellEnd"/>
    </w:p>
    <w:p w14:paraId="5BAD2579" w14:textId="5D565236" w:rsidR="00A25F4B" w:rsidRDefault="00A25F4B" w:rsidP="00A25F4B">
      <w:pPr>
        <w:rPr>
          <w:b/>
          <w:bCs/>
          <w:lang w:val="en-US"/>
        </w:rPr>
      </w:pPr>
      <w:r>
        <w:rPr>
          <w:b/>
          <w:bCs/>
          <w:lang w:val="en-US"/>
        </w:rPr>
        <w:t>Chair:</w:t>
      </w:r>
      <w:r w:rsidR="00283C00">
        <w:rPr>
          <w:b/>
          <w:bCs/>
          <w:lang w:val="en-US"/>
        </w:rPr>
        <w:t xml:space="preserve"> </w:t>
      </w:r>
      <w:r w:rsidR="0098726B">
        <w:rPr>
          <w:b/>
          <w:bCs/>
          <w:szCs w:val="20"/>
          <w:lang w:val="en-US"/>
        </w:rPr>
        <w:t xml:space="preserve">Bruce </w:t>
      </w:r>
      <w:proofErr w:type="spellStart"/>
      <w:r w:rsidR="0098726B">
        <w:rPr>
          <w:b/>
          <w:bCs/>
          <w:szCs w:val="20"/>
          <w:lang w:val="en-US"/>
        </w:rPr>
        <w:t>Apted</w:t>
      </w:r>
      <w:proofErr w:type="spellEnd"/>
    </w:p>
    <w:p w14:paraId="1C837EA2" w14:textId="77777777" w:rsidR="00A25F4B" w:rsidRDefault="00A25F4B" w:rsidP="00A25F4B">
      <w:pPr>
        <w:rPr>
          <w:b/>
          <w:bCs/>
          <w:lang w:val="en-US"/>
        </w:rPr>
      </w:pPr>
    </w:p>
    <w:p w14:paraId="7B9DC100" w14:textId="002A813E" w:rsidR="00A25F4B" w:rsidRDefault="00A25F4B" w:rsidP="00A25F4B">
      <w:pPr>
        <w:pStyle w:val="BodyText2"/>
      </w:pPr>
      <w:r>
        <w:t>The trustees have resolved th</w:t>
      </w:r>
      <w:r w:rsidR="00283C00">
        <w:t>at the following Derivatives Risk</w:t>
      </w:r>
      <w:r>
        <w:t xml:space="preserve"> Statement be adopted and i</w:t>
      </w:r>
      <w:r w:rsidR="00283C00">
        <w:t xml:space="preserve">mplemented for </w:t>
      </w:r>
      <w:r w:rsidR="0098726B">
        <w:t>ABA Investments Fund</w:t>
      </w:r>
      <w:r>
        <w:t>.</w:t>
      </w:r>
    </w:p>
    <w:p w14:paraId="6E020705" w14:textId="77777777" w:rsidR="00A25F4B" w:rsidRDefault="00A25F4B" w:rsidP="00A25F4B">
      <w:pPr>
        <w:autoSpaceDE w:val="0"/>
        <w:autoSpaceDN w:val="0"/>
        <w:adjustRightInd w:val="0"/>
        <w:jc w:val="both"/>
        <w:rPr>
          <w:b/>
          <w:bCs/>
          <w:szCs w:val="32"/>
          <w:lang w:val="en-US"/>
        </w:rPr>
      </w:pPr>
    </w:p>
    <w:p w14:paraId="5ED44BEB" w14:textId="77777777" w:rsidR="00A25F4B" w:rsidRDefault="00A25F4B" w:rsidP="00A25F4B">
      <w:pPr>
        <w:autoSpaceDE w:val="0"/>
        <w:autoSpaceDN w:val="0"/>
        <w:adjustRightInd w:val="0"/>
        <w:jc w:val="both"/>
        <w:rPr>
          <w:b/>
          <w:bCs/>
          <w:szCs w:val="32"/>
          <w:lang w:val="en-US"/>
        </w:rPr>
      </w:pPr>
      <w:r>
        <w:rPr>
          <w:b/>
          <w:bCs/>
          <w:szCs w:val="32"/>
          <w:lang w:val="en-US"/>
        </w:rPr>
        <w:t>DERIVATIVES R</w:t>
      </w:r>
      <w:r>
        <w:rPr>
          <w:b/>
          <w:bCs/>
          <w:szCs w:val="26"/>
          <w:lang w:val="en-US"/>
        </w:rPr>
        <w:t xml:space="preserve">ISK </w:t>
      </w:r>
      <w:r>
        <w:rPr>
          <w:b/>
          <w:bCs/>
          <w:szCs w:val="32"/>
          <w:lang w:val="en-US"/>
        </w:rPr>
        <w:t>S</w:t>
      </w:r>
      <w:r>
        <w:rPr>
          <w:b/>
          <w:bCs/>
          <w:szCs w:val="26"/>
          <w:lang w:val="en-US"/>
        </w:rPr>
        <w:t>TATEMENT</w:t>
      </w:r>
    </w:p>
    <w:p w14:paraId="11714F04" w14:textId="77777777" w:rsidR="00A25F4B" w:rsidRDefault="00A25F4B" w:rsidP="00A25F4B">
      <w:pPr>
        <w:autoSpaceDE w:val="0"/>
        <w:autoSpaceDN w:val="0"/>
        <w:adjustRightInd w:val="0"/>
        <w:jc w:val="both"/>
        <w:rPr>
          <w:b/>
          <w:bCs/>
          <w:szCs w:val="32"/>
          <w:lang w:val="en-US"/>
        </w:rPr>
      </w:pPr>
    </w:p>
    <w:p w14:paraId="42F0FB5C" w14:textId="225A603B" w:rsidR="00A25F4B" w:rsidRDefault="0098726B" w:rsidP="00A25F4B">
      <w:pPr>
        <w:autoSpaceDE w:val="0"/>
        <w:autoSpaceDN w:val="0"/>
        <w:adjustRightInd w:val="0"/>
        <w:jc w:val="both"/>
        <w:rPr>
          <w:b/>
          <w:bCs/>
          <w:szCs w:val="32"/>
          <w:lang w:val="en-US"/>
        </w:rPr>
      </w:pPr>
      <w:r>
        <w:rPr>
          <w:b/>
          <w:bCs/>
          <w:szCs w:val="32"/>
          <w:lang w:val="en-US"/>
        </w:rPr>
        <w:t>ABA Investments</w:t>
      </w:r>
      <w:r w:rsidR="00A25F4B">
        <w:rPr>
          <w:b/>
          <w:bCs/>
          <w:szCs w:val="32"/>
          <w:lang w:val="en-US"/>
        </w:rPr>
        <w:t xml:space="preserve"> Fund</w:t>
      </w:r>
    </w:p>
    <w:p w14:paraId="31E7C706" w14:textId="77777777" w:rsidR="00A25F4B" w:rsidRDefault="00A25F4B" w:rsidP="00A25F4B">
      <w:pPr>
        <w:autoSpaceDE w:val="0"/>
        <w:autoSpaceDN w:val="0"/>
        <w:adjustRightInd w:val="0"/>
        <w:rPr>
          <w:b/>
          <w:bCs/>
          <w:lang w:val="en-US"/>
        </w:rPr>
      </w:pPr>
    </w:p>
    <w:p w14:paraId="23CAF96A" w14:textId="77777777" w:rsidR="00A25F4B" w:rsidRDefault="00A25F4B" w:rsidP="00A25F4B">
      <w:pPr>
        <w:autoSpaceDE w:val="0"/>
        <w:autoSpaceDN w:val="0"/>
        <w:adjustRightInd w:val="0"/>
        <w:rPr>
          <w:b/>
          <w:bCs/>
          <w:szCs w:val="20"/>
          <w:lang w:val="en-US"/>
        </w:rPr>
      </w:pPr>
      <w:r>
        <w:rPr>
          <w:b/>
          <w:bCs/>
          <w:lang w:val="en-US"/>
        </w:rPr>
        <w:t>I</w:t>
      </w:r>
      <w:r>
        <w:rPr>
          <w:b/>
          <w:bCs/>
          <w:szCs w:val="20"/>
          <w:lang w:val="en-US"/>
        </w:rPr>
        <w:t>NTRODUCTION</w:t>
      </w:r>
    </w:p>
    <w:p w14:paraId="3CCF0EE1" w14:textId="77777777" w:rsidR="00A25F4B" w:rsidRDefault="00A25F4B" w:rsidP="00A25F4B">
      <w:pPr>
        <w:autoSpaceDE w:val="0"/>
        <w:autoSpaceDN w:val="0"/>
        <w:adjustRightInd w:val="0"/>
        <w:rPr>
          <w:szCs w:val="20"/>
          <w:lang w:val="en-US"/>
        </w:rPr>
      </w:pPr>
    </w:p>
    <w:p w14:paraId="6E7AB07E" w14:textId="36FED0FF" w:rsidR="00A25F4B" w:rsidRDefault="00A25F4B" w:rsidP="00A25F4B">
      <w:pPr>
        <w:autoSpaceDE w:val="0"/>
        <w:autoSpaceDN w:val="0"/>
        <w:adjustRightInd w:val="0"/>
        <w:rPr>
          <w:szCs w:val="20"/>
          <w:lang w:val="en-US"/>
        </w:rPr>
      </w:pPr>
      <w:r>
        <w:rPr>
          <w:szCs w:val="20"/>
          <w:lang w:val="en-US"/>
        </w:rPr>
        <w:t>The Superannuation Industry Supervision Act (</w:t>
      </w:r>
      <w:r w:rsidR="00AA0702">
        <w:rPr>
          <w:szCs w:val="20"/>
          <w:lang w:val="en-US"/>
        </w:rPr>
        <w:t>SISA) requires a Derivatives Risk Statement (DR</w:t>
      </w:r>
      <w:r>
        <w:rPr>
          <w:szCs w:val="20"/>
          <w:lang w:val="en-US"/>
        </w:rPr>
        <w:t>S) to be in effect for Superannuation Funds where a charge is given, in relation to the use of derivatives by the trustee of the fund. This doc</w:t>
      </w:r>
      <w:r w:rsidR="00AA0702">
        <w:rPr>
          <w:szCs w:val="20"/>
          <w:lang w:val="en-US"/>
        </w:rPr>
        <w:t>ument sets out the DR</w:t>
      </w:r>
      <w:r w:rsidR="00584D4A">
        <w:rPr>
          <w:szCs w:val="20"/>
          <w:lang w:val="en-US"/>
        </w:rPr>
        <w:t>S of the</w:t>
      </w:r>
      <w:r w:rsidR="00283C00">
        <w:rPr>
          <w:b/>
          <w:bCs/>
          <w:szCs w:val="20"/>
          <w:lang w:val="en-US"/>
        </w:rPr>
        <w:t xml:space="preserve"> </w:t>
      </w:r>
      <w:r w:rsidR="0098726B">
        <w:rPr>
          <w:b/>
          <w:bCs/>
          <w:szCs w:val="20"/>
          <w:lang w:val="en-US"/>
        </w:rPr>
        <w:t>ABA Investments</w:t>
      </w:r>
      <w:r>
        <w:rPr>
          <w:b/>
          <w:bCs/>
          <w:szCs w:val="20"/>
          <w:lang w:val="en-US"/>
        </w:rPr>
        <w:t xml:space="preserve"> Fund, </w:t>
      </w:r>
      <w:r>
        <w:rPr>
          <w:szCs w:val="20"/>
          <w:lang w:val="en-US"/>
        </w:rPr>
        <w:t>and has been designed to cover the specific requirements of Regulation 13.15A of the SIS act.</w:t>
      </w:r>
    </w:p>
    <w:p w14:paraId="73D1BB0B" w14:textId="77777777" w:rsidR="00A25F4B" w:rsidRDefault="00A25F4B" w:rsidP="00A25F4B">
      <w:pPr>
        <w:autoSpaceDE w:val="0"/>
        <w:autoSpaceDN w:val="0"/>
        <w:adjustRightInd w:val="0"/>
        <w:rPr>
          <w:szCs w:val="20"/>
          <w:lang w:val="en-US"/>
        </w:rPr>
      </w:pPr>
    </w:p>
    <w:p w14:paraId="50019D24" w14:textId="77777777" w:rsidR="00A25F4B" w:rsidRDefault="00A25F4B" w:rsidP="00A25F4B">
      <w:pPr>
        <w:autoSpaceDE w:val="0"/>
        <w:autoSpaceDN w:val="0"/>
        <w:adjustRightInd w:val="0"/>
        <w:rPr>
          <w:szCs w:val="20"/>
          <w:lang w:val="en-US"/>
        </w:rPr>
      </w:pPr>
      <w:r>
        <w:rPr>
          <w:szCs w:val="20"/>
          <w:lang w:val="en-US"/>
        </w:rPr>
        <w:t>Where the trustees use the services of an Investment Adviser, and that Investment Adviser makes recommendations to the trustee which entail the use of derivatives, the trustees are still responsible for ensuring that the use and implementation of derivatives is in acc</w:t>
      </w:r>
      <w:r w:rsidR="00AA0702">
        <w:rPr>
          <w:szCs w:val="20"/>
          <w:lang w:val="en-US"/>
        </w:rPr>
        <w:t>ordance with the aims of this DR</w:t>
      </w:r>
      <w:r>
        <w:rPr>
          <w:szCs w:val="20"/>
          <w:lang w:val="en-US"/>
        </w:rPr>
        <w:t>S.</w:t>
      </w:r>
    </w:p>
    <w:p w14:paraId="68F64990" w14:textId="77777777" w:rsidR="00A25F4B" w:rsidRDefault="00A25F4B" w:rsidP="00A25F4B">
      <w:pPr>
        <w:autoSpaceDE w:val="0"/>
        <w:autoSpaceDN w:val="0"/>
        <w:adjustRightInd w:val="0"/>
        <w:rPr>
          <w:b/>
          <w:bCs/>
          <w:lang w:val="en-US"/>
        </w:rPr>
      </w:pPr>
      <w:r>
        <w:rPr>
          <w:szCs w:val="20"/>
          <w:lang w:val="en-US"/>
        </w:rPr>
        <w:t xml:space="preserve"> </w:t>
      </w:r>
    </w:p>
    <w:p w14:paraId="4B711133" w14:textId="77777777" w:rsidR="00A25F4B" w:rsidRDefault="00A25F4B" w:rsidP="00A25F4B">
      <w:pPr>
        <w:autoSpaceDE w:val="0"/>
        <w:autoSpaceDN w:val="0"/>
        <w:adjustRightInd w:val="0"/>
        <w:rPr>
          <w:b/>
          <w:bCs/>
          <w:szCs w:val="20"/>
          <w:lang w:val="en-US"/>
        </w:rPr>
      </w:pPr>
      <w:r>
        <w:rPr>
          <w:b/>
          <w:bCs/>
          <w:lang w:val="en-US"/>
        </w:rPr>
        <w:t>1. POLICIES FOR T</w:t>
      </w:r>
      <w:r>
        <w:rPr>
          <w:b/>
          <w:bCs/>
          <w:szCs w:val="20"/>
          <w:lang w:val="en-US"/>
        </w:rPr>
        <w:t xml:space="preserve">HE </w:t>
      </w:r>
      <w:r>
        <w:rPr>
          <w:b/>
          <w:bCs/>
          <w:lang w:val="en-US"/>
        </w:rPr>
        <w:t>U</w:t>
      </w:r>
      <w:r>
        <w:rPr>
          <w:b/>
          <w:bCs/>
          <w:szCs w:val="20"/>
          <w:lang w:val="en-US"/>
        </w:rPr>
        <w:t xml:space="preserve">SE OF </w:t>
      </w:r>
      <w:r>
        <w:rPr>
          <w:b/>
          <w:bCs/>
          <w:lang w:val="en-US"/>
        </w:rPr>
        <w:t>D</w:t>
      </w:r>
      <w:r>
        <w:rPr>
          <w:b/>
          <w:bCs/>
          <w:szCs w:val="20"/>
          <w:lang w:val="en-US"/>
        </w:rPr>
        <w:t>ERIVATIVES, INCLUDING AN ANALYSIS OF THE RISKS ASSOCIATED WITH THE USE OF DERIVATVIES WITHIN THE INVESTMENT STRATEGY OF THE FUND.</w:t>
      </w:r>
    </w:p>
    <w:p w14:paraId="4BAD9CFB" w14:textId="77777777" w:rsidR="00A25F4B" w:rsidRDefault="00A25F4B" w:rsidP="00A25F4B">
      <w:pPr>
        <w:autoSpaceDE w:val="0"/>
        <w:autoSpaceDN w:val="0"/>
        <w:adjustRightInd w:val="0"/>
        <w:rPr>
          <w:b/>
          <w:bCs/>
          <w:szCs w:val="20"/>
          <w:lang w:val="en-US"/>
        </w:rPr>
      </w:pPr>
    </w:p>
    <w:p w14:paraId="5E6C1FA6" w14:textId="77777777" w:rsidR="00A25F4B" w:rsidRDefault="00A25F4B" w:rsidP="00A25F4B">
      <w:pPr>
        <w:pStyle w:val="Heading3"/>
      </w:pPr>
      <w:r>
        <w:t>The use of derivatives</w:t>
      </w:r>
    </w:p>
    <w:p w14:paraId="750714AB" w14:textId="77777777" w:rsidR="00A25F4B" w:rsidRDefault="00A25F4B" w:rsidP="00A25F4B">
      <w:pPr>
        <w:autoSpaceDE w:val="0"/>
        <w:autoSpaceDN w:val="0"/>
        <w:adjustRightInd w:val="0"/>
        <w:rPr>
          <w:szCs w:val="20"/>
          <w:lang w:val="en-US"/>
        </w:rPr>
      </w:pPr>
    </w:p>
    <w:p w14:paraId="2BB0DD82" w14:textId="77777777" w:rsidR="00A25F4B" w:rsidRDefault="00A25F4B" w:rsidP="00A25F4B">
      <w:pPr>
        <w:autoSpaceDE w:val="0"/>
        <w:autoSpaceDN w:val="0"/>
        <w:adjustRightInd w:val="0"/>
        <w:rPr>
          <w:szCs w:val="20"/>
          <w:lang w:val="en-US"/>
        </w:rPr>
      </w:pPr>
      <w:r>
        <w:rPr>
          <w:szCs w:val="20"/>
          <w:lang w:val="en-US"/>
        </w:rPr>
        <w:t>The trustees consider that as with any investment, derivatives must fulfill the following criteria:</w:t>
      </w:r>
    </w:p>
    <w:p w14:paraId="3B2E8198" w14:textId="77777777" w:rsidR="00A25F4B" w:rsidRDefault="00A25F4B" w:rsidP="00A25F4B">
      <w:pPr>
        <w:autoSpaceDE w:val="0"/>
        <w:autoSpaceDN w:val="0"/>
        <w:adjustRightInd w:val="0"/>
        <w:rPr>
          <w:szCs w:val="20"/>
          <w:lang w:val="en-US"/>
        </w:rPr>
      </w:pPr>
    </w:p>
    <w:p w14:paraId="022E74FF" w14:textId="77777777" w:rsidR="00A25F4B" w:rsidRDefault="00A25F4B" w:rsidP="00A25F4B">
      <w:pPr>
        <w:autoSpaceDE w:val="0"/>
        <w:autoSpaceDN w:val="0"/>
        <w:adjustRightInd w:val="0"/>
        <w:rPr>
          <w:szCs w:val="20"/>
          <w:lang w:val="en-US"/>
        </w:rPr>
      </w:pPr>
      <w:r>
        <w:rPr>
          <w:szCs w:val="20"/>
          <w:lang w:val="en-US"/>
        </w:rPr>
        <w:t>(a) a derivative investment must be intended to support the fund’s overall investment strategy.</w:t>
      </w:r>
    </w:p>
    <w:p w14:paraId="4B4B06C5" w14:textId="77777777" w:rsidR="00A25F4B" w:rsidRDefault="00A25F4B" w:rsidP="00A25F4B">
      <w:pPr>
        <w:autoSpaceDE w:val="0"/>
        <w:autoSpaceDN w:val="0"/>
        <w:adjustRightInd w:val="0"/>
        <w:rPr>
          <w:szCs w:val="20"/>
          <w:lang w:val="en-US"/>
        </w:rPr>
      </w:pPr>
      <w:r>
        <w:rPr>
          <w:szCs w:val="20"/>
          <w:lang w:val="en-US"/>
        </w:rPr>
        <w:t>(b) the purpose of making a specific derivative investment must be consistent with the investment objectives of the fund.</w:t>
      </w:r>
    </w:p>
    <w:p w14:paraId="184F8CE3" w14:textId="77777777" w:rsidR="00A25F4B" w:rsidRDefault="00A25F4B" w:rsidP="00A25F4B">
      <w:pPr>
        <w:autoSpaceDE w:val="0"/>
        <w:autoSpaceDN w:val="0"/>
        <w:adjustRightInd w:val="0"/>
        <w:rPr>
          <w:szCs w:val="20"/>
          <w:lang w:val="en-US"/>
        </w:rPr>
      </w:pPr>
      <w:r>
        <w:rPr>
          <w:szCs w:val="20"/>
          <w:lang w:val="en-US"/>
        </w:rPr>
        <w:t>(c) all investment guidelines in respect of each member must be complied with.</w:t>
      </w:r>
    </w:p>
    <w:p w14:paraId="3EDC985D" w14:textId="77777777" w:rsidR="00A25F4B" w:rsidRDefault="00A25F4B" w:rsidP="00A25F4B"/>
    <w:p w14:paraId="2FCDEE98" w14:textId="77777777" w:rsidR="00A25F4B" w:rsidRDefault="00A25F4B" w:rsidP="00A25F4B">
      <w:pPr>
        <w:autoSpaceDE w:val="0"/>
        <w:autoSpaceDN w:val="0"/>
        <w:adjustRightInd w:val="0"/>
        <w:rPr>
          <w:color w:val="000000"/>
          <w:szCs w:val="20"/>
          <w:lang w:val="en-US"/>
        </w:rPr>
      </w:pPr>
      <w:r>
        <w:rPr>
          <w:color w:val="000000"/>
          <w:szCs w:val="20"/>
          <w:lang w:val="en-US"/>
        </w:rPr>
        <w:t>More specifically, the trustees may intend to use derivatives for the following purposes:</w:t>
      </w:r>
    </w:p>
    <w:p w14:paraId="0A4709A6" w14:textId="77777777" w:rsidR="00A25F4B" w:rsidRDefault="00A25F4B" w:rsidP="00A25F4B">
      <w:pPr>
        <w:autoSpaceDE w:val="0"/>
        <w:autoSpaceDN w:val="0"/>
        <w:adjustRightInd w:val="0"/>
        <w:rPr>
          <w:color w:val="000000"/>
          <w:szCs w:val="20"/>
          <w:lang w:val="en-US"/>
        </w:rPr>
      </w:pPr>
    </w:p>
    <w:p w14:paraId="6249E345" w14:textId="77777777" w:rsidR="00A25F4B" w:rsidRDefault="00A25F4B" w:rsidP="00A25F4B">
      <w:pPr>
        <w:autoSpaceDE w:val="0"/>
        <w:autoSpaceDN w:val="0"/>
        <w:adjustRightInd w:val="0"/>
        <w:rPr>
          <w:color w:val="000000"/>
          <w:szCs w:val="20"/>
          <w:lang w:val="en-US"/>
        </w:rPr>
      </w:pPr>
      <w:r>
        <w:rPr>
          <w:color w:val="000000"/>
          <w:szCs w:val="20"/>
          <w:lang w:val="en-US"/>
        </w:rPr>
        <w:t>(a) writing (selling) covered options to produce extra income for the fund;</w:t>
      </w:r>
    </w:p>
    <w:p w14:paraId="47A0B039" w14:textId="77777777" w:rsidR="00A25F4B" w:rsidRDefault="00A25F4B" w:rsidP="00A25F4B">
      <w:pPr>
        <w:autoSpaceDE w:val="0"/>
        <w:autoSpaceDN w:val="0"/>
        <w:adjustRightInd w:val="0"/>
        <w:rPr>
          <w:color w:val="000000"/>
          <w:szCs w:val="20"/>
          <w:lang w:val="en-US"/>
        </w:rPr>
      </w:pPr>
      <w:r>
        <w:rPr>
          <w:color w:val="000000"/>
          <w:szCs w:val="20"/>
          <w:lang w:val="en-US"/>
        </w:rPr>
        <w:t>(b) hedging the portfolio against the risk of adverse movements in market prices and thereby   reducing volatility;</w:t>
      </w:r>
    </w:p>
    <w:p w14:paraId="7A955298" w14:textId="77777777" w:rsidR="00A25F4B" w:rsidRDefault="00A25F4B" w:rsidP="00A25F4B">
      <w:pPr>
        <w:autoSpaceDE w:val="0"/>
        <w:autoSpaceDN w:val="0"/>
        <w:adjustRightInd w:val="0"/>
        <w:rPr>
          <w:color w:val="000000"/>
          <w:szCs w:val="20"/>
          <w:lang w:val="en-US"/>
        </w:rPr>
      </w:pPr>
      <w:r>
        <w:rPr>
          <w:color w:val="000000"/>
          <w:szCs w:val="20"/>
          <w:lang w:val="en-US"/>
        </w:rPr>
        <w:t>(c) achieving diversified exposure to an ent</w:t>
      </w:r>
      <w:r w:rsidR="00283C00">
        <w:rPr>
          <w:color w:val="000000"/>
          <w:szCs w:val="20"/>
          <w:lang w:val="en-US"/>
        </w:rPr>
        <w:t>ire market through market indic</w:t>
      </w:r>
      <w:r>
        <w:rPr>
          <w:color w:val="000000"/>
          <w:szCs w:val="20"/>
          <w:lang w:val="en-US"/>
        </w:rPr>
        <w:t>es;</w:t>
      </w:r>
    </w:p>
    <w:p w14:paraId="4D8E93E5" w14:textId="77777777" w:rsidR="00A25F4B" w:rsidRDefault="00A25F4B" w:rsidP="00A25F4B">
      <w:pPr>
        <w:autoSpaceDE w:val="0"/>
        <w:autoSpaceDN w:val="0"/>
        <w:adjustRightInd w:val="0"/>
        <w:rPr>
          <w:color w:val="000000"/>
          <w:szCs w:val="20"/>
          <w:lang w:val="en-US"/>
        </w:rPr>
      </w:pPr>
      <w:r>
        <w:rPr>
          <w:color w:val="000000"/>
          <w:szCs w:val="20"/>
          <w:lang w:val="en-US"/>
        </w:rPr>
        <w:t>(d) achieving transactional efficiency through reducing the cost of achieving a required exposure;</w:t>
      </w:r>
    </w:p>
    <w:p w14:paraId="71CC89A3" w14:textId="77777777" w:rsidR="00A25F4B" w:rsidRDefault="00A25F4B" w:rsidP="00A25F4B">
      <w:pPr>
        <w:autoSpaceDE w:val="0"/>
        <w:autoSpaceDN w:val="0"/>
        <w:adjustRightInd w:val="0"/>
        <w:rPr>
          <w:b/>
          <w:bCs/>
          <w:color w:val="000000"/>
          <w:lang w:val="en-US"/>
        </w:rPr>
      </w:pPr>
    </w:p>
    <w:p w14:paraId="4EC91D10" w14:textId="77777777" w:rsidR="00A25F4B" w:rsidRDefault="00A25F4B" w:rsidP="00A25F4B">
      <w:pPr>
        <w:autoSpaceDE w:val="0"/>
        <w:autoSpaceDN w:val="0"/>
        <w:adjustRightInd w:val="0"/>
        <w:rPr>
          <w:b/>
          <w:bCs/>
          <w:color w:val="000000"/>
          <w:szCs w:val="20"/>
          <w:lang w:val="en-US"/>
        </w:rPr>
      </w:pPr>
      <w:r>
        <w:rPr>
          <w:b/>
          <w:bCs/>
          <w:color w:val="000000"/>
          <w:lang w:val="en-US"/>
        </w:rPr>
        <w:t>R</w:t>
      </w:r>
      <w:r>
        <w:rPr>
          <w:b/>
          <w:bCs/>
          <w:color w:val="000000"/>
          <w:szCs w:val="20"/>
          <w:lang w:val="en-US"/>
        </w:rPr>
        <w:t>isk analysis</w:t>
      </w:r>
    </w:p>
    <w:p w14:paraId="146CC98E" w14:textId="77777777" w:rsidR="00A25F4B" w:rsidRDefault="00A25F4B" w:rsidP="00A25F4B">
      <w:pPr>
        <w:autoSpaceDE w:val="0"/>
        <w:autoSpaceDN w:val="0"/>
        <w:adjustRightInd w:val="0"/>
        <w:rPr>
          <w:b/>
          <w:bCs/>
          <w:color w:val="000000"/>
          <w:szCs w:val="20"/>
          <w:lang w:val="en-US"/>
        </w:rPr>
      </w:pPr>
    </w:p>
    <w:p w14:paraId="2C7CFECA" w14:textId="77777777" w:rsidR="00A25F4B" w:rsidRDefault="00A25F4B" w:rsidP="00A25F4B">
      <w:pPr>
        <w:autoSpaceDE w:val="0"/>
        <w:autoSpaceDN w:val="0"/>
        <w:adjustRightInd w:val="0"/>
        <w:rPr>
          <w:color w:val="000000"/>
          <w:szCs w:val="20"/>
          <w:lang w:val="en-US"/>
        </w:rPr>
      </w:pPr>
      <w:r>
        <w:rPr>
          <w:color w:val="000000"/>
          <w:szCs w:val="20"/>
          <w:lang w:val="en-US"/>
        </w:rPr>
        <w:lastRenderedPageBreak/>
        <w:t>The trustees are responsible for the risk management and investment decisions of the fund, including those relating to derivatives. Although professional advice may be sought, the ultimate responsibility remains with the trustees.</w:t>
      </w:r>
    </w:p>
    <w:p w14:paraId="524759AF" w14:textId="77777777" w:rsidR="00A25F4B" w:rsidRDefault="00A25F4B" w:rsidP="00A25F4B">
      <w:pPr>
        <w:autoSpaceDE w:val="0"/>
        <w:autoSpaceDN w:val="0"/>
        <w:adjustRightInd w:val="0"/>
        <w:rPr>
          <w:color w:val="000000"/>
          <w:szCs w:val="20"/>
          <w:lang w:val="en-US"/>
        </w:rPr>
      </w:pPr>
    </w:p>
    <w:p w14:paraId="1648614C" w14:textId="77777777" w:rsidR="00A25F4B" w:rsidRDefault="00A25F4B" w:rsidP="00A25F4B">
      <w:pPr>
        <w:autoSpaceDE w:val="0"/>
        <w:autoSpaceDN w:val="0"/>
        <w:adjustRightInd w:val="0"/>
        <w:rPr>
          <w:color w:val="000000"/>
          <w:szCs w:val="20"/>
          <w:lang w:val="en-US"/>
        </w:rPr>
      </w:pPr>
      <w:r>
        <w:rPr>
          <w:color w:val="000000"/>
          <w:szCs w:val="20"/>
          <w:lang w:val="en-US"/>
        </w:rPr>
        <w:t>There are various types of risks associated with derivatives. These can be broadly categorized under the headings of market risk, basis risk, liquidity risk, credit risk, and legal risk. These risks are described below.</w:t>
      </w:r>
    </w:p>
    <w:p w14:paraId="71C96877" w14:textId="77777777" w:rsidR="00A25F4B" w:rsidRDefault="00A25F4B" w:rsidP="00A25F4B">
      <w:pPr>
        <w:autoSpaceDE w:val="0"/>
        <w:autoSpaceDN w:val="0"/>
        <w:adjustRightInd w:val="0"/>
        <w:rPr>
          <w:color w:val="000000"/>
          <w:szCs w:val="20"/>
          <w:lang w:val="en-US"/>
        </w:rPr>
      </w:pPr>
    </w:p>
    <w:p w14:paraId="56B97E7D" w14:textId="77777777" w:rsidR="00A25F4B" w:rsidRDefault="00A25F4B" w:rsidP="00A25F4B">
      <w:pPr>
        <w:pStyle w:val="Heading4"/>
      </w:pPr>
      <w:r>
        <w:t>A. Market Risk</w:t>
      </w:r>
    </w:p>
    <w:p w14:paraId="2536528F" w14:textId="77777777" w:rsidR="00A25F4B" w:rsidRDefault="00A25F4B" w:rsidP="00A25F4B">
      <w:pPr>
        <w:autoSpaceDE w:val="0"/>
        <w:autoSpaceDN w:val="0"/>
        <w:adjustRightInd w:val="0"/>
        <w:rPr>
          <w:b/>
          <w:bCs/>
          <w:color w:val="000000"/>
          <w:lang w:val="en-US"/>
        </w:rPr>
      </w:pPr>
    </w:p>
    <w:p w14:paraId="300A06ED" w14:textId="77777777" w:rsidR="00A25F4B" w:rsidRDefault="00A25F4B" w:rsidP="00A25F4B">
      <w:pPr>
        <w:autoSpaceDE w:val="0"/>
        <w:autoSpaceDN w:val="0"/>
        <w:adjustRightInd w:val="0"/>
        <w:rPr>
          <w:color w:val="000000"/>
          <w:szCs w:val="20"/>
          <w:lang w:val="en-US"/>
        </w:rPr>
      </w:pPr>
      <w:r>
        <w:rPr>
          <w:color w:val="000000"/>
          <w:szCs w:val="20"/>
          <w:lang w:val="en-US"/>
        </w:rPr>
        <w:t xml:space="preserve">Market risk is the risk of adverse movements in markets. It arises through the holding of any financial instrument, physical or derivative, which creates exposure to movements in prices of a security or market. The market risk associated with the use of derivatives is assessed in the context of the risk profile of the total portfolio. </w:t>
      </w:r>
    </w:p>
    <w:p w14:paraId="0BB876CF" w14:textId="77777777" w:rsidR="00A25F4B" w:rsidRDefault="00A25F4B" w:rsidP="00A25F4B">
      <w:pPr>
        <w:autoSpaceDE w:val="0"/>
        <w:autoSpaceDN w:val="0"/>
        <w:adjustRightInd w:val="0"/>
        <w:rPr>
          <w:color w:val="000000"/>
          <w:szCs w:val="20"/>
          <w:lang w:val="en-US"/>
        </w:rPr>
      </w:pPr>
    </w:p>
    <w:p w14:paraId="3EB2AC54" w14:textId="77777777" w:rsidR="00A25F4B" w:rsidRDefault="00A25F4B" w:rsidP="00A25F4B">
      <w:pPr>
        <w:pStyle w:val="BodyText2"/>
      </w:pPr>
      <w:r>
        <w:t>The predominant market risks involved with derivatives include:</w:t>
      </w:r>
    </w:p>
    <w:p w14:paraId="6789F724" w14:textId="77777777" w:rsidR="00A25F4B" w:rsidRDefault="00A25F4B" w:rsidP="00A25F4B">
      <w:pPr>
        <w:pStyle w:val="BodyText2"/>
      </w:pPr>
    </w:p>
    <w:p w14:paraId="32DB1E1C" w14:textId="77777777" w:rsidR="00A25F4B" w:rsidRDefault="00A25F4B" w:rsidP="00A25F4B">
      <w:pPr>
        <w:pStyle w:val="BodyText2"/>
        <w:numPr>
          <w:ilvl w:val="0"/>
          <w:numId w:val="1"/>
        </w:numPr>
      </w:pPr>
      <w:r>
        <w:t>For “buy to open” options positions</w:t>
      </w:r>
    </w:p>
    <w:p w14:paraId="1B1EDF95" w14:textId="77777777" w:rsidR="00A25F4B" w:rsidRDefault="00A25F4B" w:rsidP="00A25F4B">
      <w:pPr>
        <w:pStyle w:val="BodyText2"/>
        <w:numPr>
          <w:ilvl w:val="1"/>
          <w:numId w:val="1"/>
        </w:numPr>
      </w:pPr>
      <w:r>
        <w:t>the inherent higher volatility of derivatives compared to physical positions.</w:t>
      </w:r>
    </w:p>
    <w:p w14:paraId="0A740E94" w14:textId="77777777" w:rsidR="00A25F4B" w:rsidRDefault="00A25F4B" w:rsidP="00A25F4B">
      <w:pPr>
        <w:pStyle w:val="BodyText2"/>
        <w:numPr>
          <w:ilvl w:val="1"/>
          <w:numId w:val="1"/>
        </w:numPr>
      </w:pPr>
      <w:r>
        <w:t>time decay, which reduces the market value of the position over time.</w:t>
      </w:r>
    </w:p>
    <w:p w14:paraId="21600721" w14:textId="77777777" w:rsidR="00A25F4B" w:rsidRDefault="00A25F4B" w:rsidP="00A25F4B">
      <w:pPr>
        <w:pStyle w:val="BodyText2"/>
      </w:pPr>
    </w:p>
    <w:p w14:paraId="7BFE3BC6" w14:textId="77777777" w:rsidR="00A25F4B" w:rsidRDefault="00A25F4B" w:rsidP="00A25F4B">
      <w:pPr>
        <w:pStyle w:val="BodyText2"/>
        <w:numPr>
          <w:ilvl w:val="0"/>
          <w:numId w:val="1"/>
        </w:numPr>
      </w:pPr>
      <w:r>
        <w:t>For “sell to open” options positions</w:t>
      </w:r>
    </w:p>
    <w:p w14:paraId="6348235F" w14:textId="77777777" w:rsidR="00A25F4B" w:rsidRDefault="00A25F4B" w:rsidP="00A25F4B">
      <w:pPr>
        <w:pStyle w:val="BodyText2"/>
        <w:numPr>
          <w:ilvl w:val="1"/>
          <w:numId w:val="1"/>
        </w:numPr>
      </w:pPr>
      <w:r>
        <w:t>If not covered by physical stock, losses are potentially unlimited.</w:t>
      </w:r>
    </w:p>
    <w:p w14:paraId="6181EADF" w14:textId="77777777" w:rsidR="00A25F4B" w:rsidRDefault="00A25F4B" w:rsidP="00A25F4B">
      <w:pPr>
        <w:pStyle w:val="BodyText2"/>
        <w:numPr>
          <w:ilvl w:val="1"/>
          <w:numId w:val="1"/>
        </w:numPr>
      </w:pPr>
      <w:r>
        <w:t>If exercised, the fund may not be able to fulfill the contract’s obligation</w:t>
      </w:r>
    </w:p>
    <w:p w14:paraId="501C5469" w14:textId="77777777" w:rsidR="00A25F4B" w:rsidRDefault="00A25F4B" w:rsidP="00A25F4B">
      <w:pPr>
        <w:pStyle w:val="BodyText2"/>
      </w:pPr>
    </w:p>
    <w:p w14:paraId="69DF3375" w14:textId="77777777" w:rsidR="00A25F4B" w:rsidRDefault="00A25F4B" w:rsidP="00A25F4B">
      <w:pPr>
        <w:pStyle w:val="BodyText2"/>
        <w:numPr>
          <w:ilvl w:val="0"/>
          <w:numId w:val="1"/>
        </w:numPr>
      </w:pPr>
      <w:r>
        <w:t>For futures contracts</w:t>
      </w:r>
    </w:p>
    <w:p w14:paraId="32C5FE40" w14:textId="77777777" w:rsidR="00A25F4B" w:rsidRDefault="00A25F4B" w:rsidP="00A25F4B">
      <w:pPr>
        <w:pStyle w:val="BodyText2"/>
        <w:numPr>
          <w:ilvl w:val="0"/>
          <w:numId w:val="3"/>
        </w:numPr>
      </w:pPr>
      <w:r>
        <w:t>the inherent higher volatility of derivatives compared to physical positions.</w:t>
      </w:r>
    </w:p>
    <w:p w14:paraId="70B7A28E" w14:textId="77777777" w:rsidR="00A25F4B" w:rsidRDefault="00A25F4B" w:rsidP="00A25F4B">
      <w:pPr>
        <w:pStyle w:val="BodyText2"/>
        <w:numPr>
          <w:ilvl w:val="0"/>
          <w:numId w:val="3"/>
        </w:numPr>
      </w:pPr>
      <w:r>
        <w:t>the internal leverage involved can lead to higher than normal losses.</w:t>
      </w:r>
    </w:p>
    <w:p w14:paraId="4FE42276" w14:textId="77777777" w:rsidR="00A25F4B" w:rsidRDefault="00A25F4B" w:rsidP="00A25F4B">
      <w:pPr>
        <w:pStyle w:val="BodyText2"/>
        <w:numPr>
          <w:ilvl w:val="0"/>
          <w:numId w:val="3"/>
        </w:numPr>
      </w:pPr>
      <w:r>
        <w:t>Losses can be potentially unlimited</w:t>
      </w:r>
    </w:p>
    <w:p w14:paraId="7E0AF2E3" w14:textId="77777777" w:rsidR="00A25F4B" w:rsidRDefault="00A25F4B" w:rsidP="00A25F4B">
      <w:pPr>
        <w:pStyle w:val="BodyText2"/>
      </w:pPr>
    </w:p>
    <w:p w14:paraId="0514EF7F" w14:textId="77777777" w:rsidR="00A25F4B" w:rsidRDefault="00A25F4B" w:rsidP="00A25F4B">
      <w:pPr>
        <w:pStyle w:val="Heading4"/>
      </w:pPr>
      <w:r>
        <w:t>B. Basis Risk</w:t>
      </w:r>
    </w:p>
    <w:p w14:paraId="0F348686" w14:textId="77777777" w:rsidR="00A25F4B" w:rsidRDefault="00A25F4B" w:rsidP="00A25F4B">
      <w:pPr>
        <w:autoSpaceDE w:val="0"/>
        <w:autoSpaceDN w:val="0"/>
        <w:adjustRightInd w:val="0"/>
        <w:rPr>
          <w:b/>
          <w:bCs/>
          <w:color w:val="000000"/>
          <w:lang w:val="en-US"/>
        </w:rPr>
      </w:pPr>
    </w:p>
    <w:p w14:paraId="6D197CAC" w14:textId="77777777" w:rsidR="00A25F4B" w:rsidRDefault="00A25F4B" w:rsidP="00A25F4B">
      <w:pPr>
        <w:autoSpaceDE w:val="0"/>
        <w:autoSpaceDN w:val="0"/>
        <w:adjustRightInd w:val="0"/>
        <w:rPr>
          <w:color w:val="000000"/>
          <w:szCs w:val="20"/>
          <w:lang w:val="en-US"/>
        </w:rPr>
      </w:pPr>
      <w:r>
        <w:rPr>
          <w:color w:val="000000"/>
          <w:szCs w:val="20"/>
          <w:lang w:val="en-US"/>
        </w:rPr>
        <w:t>Basis risk is the risk that the value of a derivative will not move in line with the related physical position.</w:t>
      </w:r>
    </w:p>
    <w:p w14:paraId="05D0C2F5" w14:textId="77777777" w:rsidR="00A25F4B" w:rsidRDefault="00A25F4B" w:rsidP="00A25F4B">
      <w:pPr>
        <w:autoSpaceDE w:val="0"/>
        <w:autoSpaceDN w:val="0"/>
        <w:adjustRightInd w:val="0"/>
        <w:rPr>
          <w:color w:val="000000"/>
          <w:szCs w:val="20"/>
          <w:lang w:val="en-US"/>
        </w:rPr>
      </w:pPr>
    </w:p>
    <w:p w14:paraId="34D3D6D8" w14:textId="77777777" w:rsidR="00A25F4B" w:rsidRDefault="00A25F4B" w:rsidP="00A25F4B">
      <w:pPr>
        <w:pStyle w:val="Heading4"/>
      </w:pPr>
      <w:r>
        <w:t>D. Liquidity Risk</w:t>
      </w:r>
    </w:p>
    <w:p w14:paraId="3DE5EBE5" w14:textId="77777777" w:rsidR="00A25F4B" w:rsidRDefault="00A25F4B" w:rsidP="00A25F4B">
      <w:pPr>
        <w:autoSpaceDE w:val="0"/>
        <w:autoSpaceDN w:val="0"/>
        <w:adjustRightInd w:val="0"/>
        <w:rPr>
          <w:b/>
          <w:bCs/>
          <w:color w:val="000000"/>
          <w:lang w:val="en-US"/>
        </w:rPr>
      </w:pPr>
    </w:p>
    <w:p w14:paraId="38977859" w14:textId="77777777" w:rsidR="00A25F4B" w:rsidRDefault="00A25F4B" w:rsidP="00A25F4B">
      <w:pPr>
        <w:autoSpaceDE w:val="0"/>
        <w:autoSpaceDN w:val="0"/>
        <w:adjustRightInd w:val="0"/>
        <w:rPr>
          <w:color w:val="000000"/>
          <w:szCs w:val="20"/>
          <w:lang w:val="en-US"/>
        </w:rPr>
      </w:pPr>
      <w:r>
        <w:rPr>
          <w:color w:val="000000"/>
          <w:szCs w:val="20"/>
          <w:lang w:val="en-US"/>
        </w:rPr>
        <w:t>There are two types of liquidity risk that arise from investing in derivatives. These are:</w:t>
      </w:r>
    </w:p>
    <w:p w14:paraId="25F0C51A" w14:textId="77777777" w:rsidR="00A25F4B" w:rsidRDefault="00A25F4B" w:rsidP="00A25F4B">
      <w:pPr>
        <w:autoSpaceDE w:val="0"/>
        <w:autoSpaceDN w:val="0"/>
        <w:adjustRightInd w:val="0"/>
        <w:rPr>
          <w:color w:val="000081"/>
          <w:szCs w:val="20"/>
          <w:lang w:val="en-US"/>
        </w:rPr>
      </w:pPr>
    </w:p>
    <w:p w14:paraId="20C636F6" w14:textId="77777777" w:rsidR="00A25F4B" w:rsidRDefault="00A25F4B" w:rsidP="00A25F4B">
      <w:pPr>
        <w:pStyle w:val="BodyText3"/>
      </w:pPr>
      <w:r>
        <w:t>Market Liquidity Risk - the risk that the trustees may not be able to, or cannot easily, unwind or offset a particular position due to inadequate market depth or disruptions in the market place.</w:t>
      </w:r>
    </w:p>
    <w:p w14:paraId="6F373DE7" w14:textId="77777777" w:rsidR="00A25F4B" w:rsidRDefault="00A25F4B" w:rsidP="00A25F4B">
      <w:pPr>
        <w:autoSpaceDE w:val="0"/>
        <w:autoSpaceDN w:val="0"/>
        <w:adjustRightInd w:val="0"/>
        <w:rPr>
          <w:color w:val="000000"/>
          <w:szCs w:val="20"/>
          <w:lang w:val="en-US"/>
        </w:rPr>
      </w:pPr>
    </w:p>
    <w:p w14:paraId="354EAC26" w14:textId="77777777" w:rsidR="00A25F4B" w:rsidRDefault="00A25F4B" w:rsidP="00A25F4B">
      <w:pPr>
        <w:pStyle w:val="BodyText3"/>
      </w:pPr>
      <w:r>
        <w:t xml:space="preserve">Funding Liquidity Risk - the risk that the trustees may not be able to meet the future cash flow obligations from the derivative activities such as meeting margin calls on futures contracts. </w:t>
      </w:r>
    </w:p>
    <w:p w14:paraId="262EF091" w14:textId="77777777" w:rsidR="00A25F4B" w:rsidRDefault="00A25F4B" w:rsidP="00A25F4B">
      <w:pPr>
        <w:autoSpaceDE w:val="0"/>
        <w:autoSpaceDN w:val="0"/>
        <w:adjustRightInd w:val="0"/>
        <w:rPr>
          <w:color w:val="000000"/>
          <w:szCs w:val="20"/>
          <w:lang w:val="en-US"/>
        </w:rPr>
      </w:pPr>
    </w:p>
    <w:p w14:paraId="71CFBE71" w14:textId="77777777" w:rsidR="00A25F4B" w:rsidRDefault="00A25F4B" w:rsidP="00A25F4B">
      <w:pPr>
        <w:autoSpaceDE w:val="0"/>
        <w:autoSpaceDN w:val="0"/>
        <w:adjustRightInd w:val="0"/>
        <w:rPr>
          <w:b/>
          <w:bCs/>
          <w:i/>
          <w:iCs/>
          <w:color w:val="000000"/>
          <w:lang w:val="en-US"/>
        </w:rPr>
      </w:pPr>
      <w:r>
        <w:rPr>
          <w:b/>
          <w:bCs/>
          <w:i/>
          <w:iCs/>
          <w:color w:val="000000"/>
          <w:lang w:val="en-US"/>
        </w:rPr>
        <w:t>E. Counter-party (Credit) Risk</w:t>
      </w:r>
    </w:p>
    <w:p w14:paraId="49C9F81A" w14:textId="77777777" w:rsidR="00A25F4B" w:rsidRDefault="00A25F4B" w:rsidP="00A25F4B">
      <w:pPr>
        <w:autoSpaceDE w:val="0"/>
        <w:autoSpaceDN w:val="0"/>
        <w:adjustRightInd w:val="0"/>
        <w:rPr>
          <w:b/>
          <w:bCs/>
          <w:i/>
          <w:iCs/>
          <w:color w:val="000000"/>
          <w:lang w:val="en-US"/>
        </w:rPr>
      </w:pPr>
    </w:p>
    <w:p w14:paraId="643FCB72" w14:textId="77777777" w:rsidR="00A25F4B" w:rsidRDefault="00A25F4B" w:rsidP="00A25F4B">
      <w:pPr>
        <w:autoSpaceDE w:val="0"/>
        <w:autoSpaceDN w:val="0"/>
        <w:adjustRightInd w:val="0"/>
        <w:rPr>
          <w:color w:val="000000"/>
          <w:szCs w:val="20"/>
          <w:lang w:val="en-US"/>
        </w:rPr>
      </w:pPr>
      <w:r>
        <w:rPr>
          <w:color w:val="000000"/>
          <w:szCs w:val="20"/>
          <w:lang w:val="en-US"/>
        </w:rPr>
        <w:t>Counter-party risk is the risk that a counter-party will fail to perform contractual obligations, that is default either in whole or part, under a contract.</w:t>
      </w:r>
    </w:p>
    <w:p w14:paraId="7E6CB19F" w14:textId="77777777" w:rsidR="00A25F4B" w:rsidRDefault="00A25F4B" w:rsidP="00A25F4B">
      <w:pPr>
        <w:autoSpaceDE w:val="0"/>
        <w:autoSpaceDN w:val="0"/>
        <w:adjustRightInd w:val="0"/>
        <w:rPr>
          <w:color w:val="000000"/>
          <w:szCs w:val="20"/>
          <w:lang w:val="en-US"/>
        </w:rPr>
      </w:pPr>
    </w:p>
    <w:p w14:paraId="2AE71F78" w14:textId="77777777" w:rsidR="00A25F4B" w:rsidRDefault="00A25F4B" w:rsidP="00A25F4B">
      <w:pPr>
        <w:pStyle w:val="Heading4"/>
      </w:pPr>
      <w:r>
        <w:t>F. Legal Risk</w:t>
      </w:r>
    </w:p>
    <w:p w14:paraId="7FAEF80F" w14:textId="77777777" w:rsidR="00A25F4B" w:rsidRDefault="00A25F4B" w:rsidP="00A25F4B">
      <w:pPr>
        <w:autoSpaceDE w:val="0"/>
        <w:autoSpaceDN w:val="0"/>
        <w:adjustRightInd w:val="0"/>
        <w:rPr>
          <w:b/>
          <w:bCs/>
          <w:color w:val="000000"/>
          <w:lang w:val="en-US"/>
        </w:rPr>
      </w:pPr>
    </w:p>
    <w:p w14:paraId="766F63DD" w14:textId="77777777" w:rsidR="00A25F4B" w:rsidRDefault="00A25F4B" w:rsidP="00A25F4B">
      <w:pPr>
        <w:autoSpaceDE w:val="0"/>
        <w:autoSpaceDN w:val="0"/>
        <w:adjustRightInd w:val="0"/>
        <w:rPr>
          <w:color w:val="000000"/>
          <w:szCs w:val="20"/>
          <w:lang w:val="en-US"/>
        </w:rPr>
      </w:pPr>
      <w:r>
        <w:rPr>
          <w:color w:val="000000"/>
          <w:szCs w:val="20"/>
          <w:lang w:val="en-US"/>
        </w:rPr>
        <w:t>Legal risk is the risk that a derivative contract will not be legally enforceable</w:t>
      </w:r>
      <w:r w:rsidR="003F7D26">
        <w:rPr>
          <w:color w:val="000000"/>
          <w:szCs w:val="20"/>
          <w:lang w:val="en-US"/>
        </w:rPr>
        <w:t>.</w:t>
      </w:r>
    </w:p>
    <w:p w14:paraId="2A56FE69" w14:textId="77777777" w:rsidR="00567EAA" w:rsidRDefault="00567EAA" w:rsidP="00A25F4B">
      <w:pPr>
        <w:autoSpaceDE w:val="0"/>
        <w:autoSpaceDN w:val="0"/>
        <w:adjustRightInd w:val="0"/>
        <w:rPr>
          <w:color w:val="000000"/>
          <w:szCs w:val="20"/>
          <w:lang w:val="en-US"/>
        </w:rPr>
      </w:pPr>
    </w:p>
    <w:p w14:paraId="666AD5FD" w14:textId="77777777" w:rsidR="00A25F4B" w:rsidRDefault="00A25F4B" w:rsidP="00A25F4B">
      <w:pPr>
        <w:autoSpaceDE w:val="0"/>
        <w:autoSpaceDN w:val="0"/>
        <w:adjustRightInd w:val="0"/>
        <w:rPr>
          <w:b/>
          <w:bCs/>
          <w:color w:val="000000"/>
          <w:szCs w:val="20"/>
          <w:lang w:val="en-US"/>
        </w:rPr>
      </w:pPr>
      <w:r>
        <w:rPr>
          <w:b/>
          <w:bCs/>
          <w:color w:val="000000"/>
          <w:lang w:val="en-US"/>
        </w:rPr>
        <w:lastRenderedPageBreak/>
        <w:t>2. R</w:t>
      </w:r>
      <w:r>
        <w:rPr>
          <w:b/>
          <w:bCs/>
          <w:color w:val="000000"/>
          <w:szCs w:val="20"/>
          <w:lang w:val="en-US"/>
        </w:rPr>
        <w:t xml:space="preserve">ESTRICTIONS &amp; CONTROLS ON THE </w:t>
      </w:r>
      <w:r>
        <w:rPr>
          <w:b/>
          <w:bCs/>
          <w:color w:val="000000"/>
          <w:lang w:val="en-US"/>
        </w:rPr>
        <w:t>U</w:t>
      </w:r>
      <w:r>
        <w:rPr>
          <w:b/>
          <w:bCs/>
          <w:color w:val="000000"/>
          <w:szCs w:val="20"/>
          <w:lang w:val="en-US"/>
        </w:rPr>
        <w:t xml:space="preserve">SE OF </w:t>
      </w:r>
      <w:r>
        <w:rPr>
          <w:b/>
          <w:bCs/>
          <w:color w:val="000000"/>
          <w:lang w:val="en-US"/>
        </w:rPr>
        <w:t>D</w:t>
      </w:r>
      <w:r>
        <w:rPr>
          <w:b/>
          <w:bCs/>
          <w:color w:val="000000"/>
          <w:szCs w:val="20"/>
          <w:lang w:val="en-US"/>
        </w:rPr>
        <w:t>ERIVATIVES THAT TAKE INTO CONSIDERATION THE EXPERTISE OF STAFF</w:t>
      </w:r>
    </w:p>
    <w:p w14:paraId="2BA02E91" w14:textId="77777777" w:rsidR="00A25F4B" w:rsidRDefault="00A25F4B" w:rsidP="00A25F4B">
      <w:pPr>
        <w:autoSpaceDE w:val="0"/>
        <w:autoSpaceDN w:val="0"/>
        <w:adjustRightInd w:val="0"/>
        <w:rPr>
          <w:b/>
          <w:bCs/>
          <w:color w:val="000000"/>
          <w:szCs w:val="20"/>
          <w:lang w:val="en-US"/>
        </w:rPr>
      </w:pPr>
    </w:p>
    <w:p w14:paraId="3B273A7B" w14:textId="77777777" w:rsidR="00A25F4B" w:rsidRDefault="00AA0702" w:rsidP="00A25F4B">
      <w:pPr>
        <w:autoSpaceDE w:val="0"/>
        <w:autoSpaceDN w:val="0"/>
        <w:adjustRightInd w:val="0"/>
        <w:rPr>
          <w:color w:val="000000"/>
          <w:szCs w:val="20"/>
          <w:lang w:val="en-US"/>
        </w:rPr>
      </w:pPr>
      <w:r>
        <w:rPr>
          <w:color w:val="000000"/>
          <w:szCs w:val="20"/>
          <w:lang w:val="en-US"/>
        </w:rPr>
        <w:t>With this DR</w:t>
      </w:r>
      <w:r w:rsidR="00A25F4B">
        <w:rPr>
          <w:color w:val="000000"/>
          <w:szCs w:val="20"/>
          <w:lang w:val="en-US"/>
        </w:rPr>
        <w:t>S pertaining to a Self Managed Super</w:t>
      </w:r>
      <w:r>
        <w:rPr>
          <w:color w:val="000000"/>
          <w:szCs w:val="20"/>
          <w:lang w:val="en-US"/>
        </w:rPr>
        <w:t>annuation</w:t>
      </w:r>
      <w:r w:rsidR="00A25F4B">
        <w:rPr>
          <w:color w:val="000000"/>
          <w:szCs w:val="20"/>
          <w:lang w:val="en-US"/>
        </w:rPr>
        <w:t xml:space="preserve"> Fund, the reference to “staff” will be taken here to be referring primarily to the trustees, and secondarily to other investment personnel that the trustees may engage to execute trades or provide advice.</w:t>
      </w:r>
    </w:p>
    <w:p w14:paraId="6AFB574C" w14:textId="77777777" w:rsidR="00A25F4B" w:rsidRDefault="00A25F4B" w:rsidP="00A25F4B">
      <w:pPr>
        <w:autoSpaceDE w:val="0"/>
        <w:autoSpaceDN w:val="0"/>
        <w:adjustRightInd w:val="0"/>
        <w:rPr>
          <w:color w:val="000000"/>
          <w:szCs w:val="20"/>
          <w:lang w:val="en-US"/>
        </w:rPr>
      </w:pPr>
    </w:p>
    <w:p w14:paraId="4750FDEA" w14:textId="77777777" w:rsidR="00A25F4B" w:rsidRDefault="00A25F4B" w:rsidP="00A25F4B">
      <w:pPr>
        <w:autoSpaceDE w:val="0"/>
        <w:autoSpaceDN w:val="0"/>
        <w:adjustRightInd w:val="0"/>
        <w:rPr>
          <w:color w:val="000000"/>
          <w:szCs w:val="20"/>
          <w:lang w:val="en-US"/>
        </w:rPr>
      </w:pPr>
      <w:r>
        <w:rPr>
          <w:color w:val="000000"/>
          <w:szCs w:val="20"/>
          <w:lang w:val="en-US"/>
        </w:rPr>
        <w:t>In order to manage &amp; control the risks in Section 1 above, the trustees undertake to implement the following restrictions, controls, and processes:</w:t>
      </w:r>
    </w:p>
    <w:p w14:paraId="0929C4DD" w14:textId="77777777" w:rsidR="00A25F4B" w:rsidRDefault="00A25F4B" w:rsidP="00A25F4B">
      <w:pPr>
        <w:pStyle w:val="BodyText2"/>
      </w:pPr>
    </w:p>
    <w:p w14:paraId="2272175F" w14:textId="77777777" w:rsidR="00A25F4B" w:rsidRDefault="00A25F4B" w:rsidP="00A25F4B">
      <w:pPr>
        <w:numPr>
          <w:ilvl w:val="1"/>
          <w:numId w:val="2"/>
        </w:numPr>
        <w:autoSpaceDE w:val="0"/>
        <w:autoSpaceDN w:val="0"/>
        <w:adjustRightInd w:val="0"/>
        <w:rPr>
          <w:color w:val="000000"/>
          <w:szCs w:val="20"/>
          <w:lang w:val="en-US"/>
        </w:rPr>
      </w:pPr>
      <w:r>
        <w:rPr>
          <w:color w:val="000000"/>
          <w:szCs w:val="20"/>
          <w:lang w:val="en-US"/>
        </w:rPr>
        <w:t>All open derivative positions are monitored closely on a daily basis.</w:t>
      </w:r>
    </w:p>
    <w:p w14:paraId="0DF75D20" w14:textId="77777777" w:rsidR="00A25F4B" w:rsidRDefault="00A25F4B" w:rsidP="00A25F4B">
      <w:pPr>
        <w:numPr>
          <w:ilvl w:val="1"/>
          <w:numId w:val="2"/>
        </w:numPr>
        <w:autoSpaceDE w:val="0"/>
        <w:autoSpaceDN w:val="0"/>
        <w:adjustRightInd w:val="0"/>
        <w:rPr>
          <w:color w:val="000000"/>
          <w:szCs w:val="20"/>
          <w:lang w:val="en-US"/>
        </w:rPr>
      </w:pPr>
      <w:r>
        <w:rPr>
          <w:color w:val="000000"/>
          <w:szCs w:val="20"/>
          <w:lang w:val="en-US"/>
        </w:rPr>
        <w:t>Ensuring prior to and during all derivative contracts that any and all potential expiry exercise obligations can be fulfilled by the fund, and that the exercise event is still consistent with the fund’s overall investment strategy.</w:t>
      </w:r>
    </w:p>
    <w:p w14:paraId="65BC3E48" w14:textId="77777777" w:rsidR="00A25F4B" w:rsidRDefault="00A25F4B" w:rsidP="00A25F4B">
      <w:pPr>
        <w:pStyle w:val="BodyText3"/>
        <w:numPr>
          <w:ilvl w:val="1"/>
          <w:numId w:val="2"/>
        </w:numPr>
      </w:pPr>
      <w:r>
        <w:t>Ensuring that positions in derivatives are cove</w:t>
      </w:r>
      <w:r w:rsidR="00AA0702">
        <w:t>red. For the purposes of this DR</w:t>
      </w:r>
      <w:r>
        <w:t>S, cover consists of cash, or assets that are equivalent to cash and can be converted to cash within the settlement period. They must be sufficient to meet all potential obligations arising from the underlying asset exposure represented by the derivative position. Cover</w:t>
      </w:r>
      <w:r w:rsidR="00CC595E">
        <w:t xml:space="preserve"> may also consist of securities for futures or options contracts</w:t>
      </w:r>
      <w:r>
        <w:t>.</w:t>
      </w:r>
    </w:p>
    <w:p w14:paraId="01AE5010" w14:textId="77777777" w:rsidR="00A25F4B" w:rsidRDefault="00A25F4B" w:rsidP="00A25F4B">
      <w:pPr>
        <w:pStyle w:val="BodyText3"/>
        <w:numPr>
          <w:ilvl w:val="1"/>
          <w:numId w:val="2"/>
        </w:numPr>
      </w:pPr>
      <w:r>
        <w:t xml:space="preserve">The setting and execution of a “stop loss” level for all </w:t>
      </w:r>
      <w:r w:rsidR="00AA0702">
        <w:t>futures and open “sold” option</w:t>
      </w:r>
      <w:r>
        <w:t xml:space="preserve"> positions, to reduce “unlimited loss” risk on ‘cash settled’ contracts. </w:t>
      </w:r>
    </w:p>
    <w:p w14:paraId="17422B9D" w14:textId="77777777" w:rsidR="00A25F4B" w:rsidRDefault="00A25F4B" w:rsidP="00A25F4B">
      <w:pPr>
        <w:numPr>
          <w:ilvl w:val="1"/>
          <w:numId w:val="2"/>
        </w:numPr>
        <w:autoSpaceDE w:val="0"/>
        <w:autoSpaceDN w:val="0"/>
        <w:adjustRightInd w:val="0"/>
        <w:rPr>
          <w:color w:val="000000"/>
          <w:szCs w:val="20"/>
          <w:lang w:val="en-US"/>
        </w:rPr>
      </w:pPr>
      <w:r>
        <w:rPr>
          <w:color w:val="000000"/>
          <w:szCs w:val="20"/>
          <w:lang w:val="en-US"/>
        </w:rPr>
        <w:t>Asset allocation targets and exposure limits specified in the investment strategy(s) of the fund include both physical and derivative exposures of the portfolio. The trustees must manage portfolios to these target allocations.</w:t>
      </w:r>
    </w:p>
    <w:p w14:paraId="608FE98C" w14:textId="77777777" w:rsidR="00A25F4B" w:rsidRDefault="00A25F4B" w:rsidP="00A25F4B">
      <w:pPr>
        <w:numPr>
          <w:ilvl w:val="1"/>
          <w:numId w:val="2"/>
        </w:numPr>
        <w:autoSpaceDE w:val="0"/>
        <w:autoSpaceDN w:val="0"/>
        <w:adjustRightInd w:val="0"/>
        <w:rPr>
          <w:color w:val="000000"/>
          <w:szCs w:val="20"/>
          <w:lang w:val="en-US"/>
        </w:rPr>
      </w:pPr>
      <w:r>
        <w:rPr>
          <w:color w:val="000000"/>
          <w:szCs w:val="20"/>
          <w:lang w:val="en-US"/>
        </w:rPr>
        <w:t>When a derivative contract is entered into, the trustee takes into consideration the likelihood that the price of a derivative will move in line with the underlying physical position and assesses whether the level of basis risk is acceptable.</w:t>
      </w:r>
    </w:p>
    <w:p w14:paraId="0BFF8398" w14:textId="77777777" w:rsidR="00A25F4B" w:rsidRDefault="00A25F4B" w:rsidP="00A25F4B">
      <w:pPr>
        <w:numPr>
          <w:ilvl w:val="1"/>
          <w:numId w:val="2"/>
        </w:numPr>
        <w:autoSpaceDE w:val="0"/>
        <w:autoSpaceDN w:val="0"/>
        <w:adjustRightInd w:val="0"/>
        <w:rPr>
          <w:color w:val="000000"/>
          <w:szCs w:val="20"/>
          <w:lang w:val="en-US"/>
        </w:rPr>
      </w:pPr>
      <w:r>
        <w:rPr>
          <w:color w:val="000000"/>
          <w:szCs w:val="20"/>
          <w:lang w:val="en-US"/>
        </w:rPr>
        <w:t xml:space="preserve">The market depth of the derivative will be assessed to control liquidity risk. </w:t>
      </w:r>
    </w:p>
    <w:p w14:paraId="646808A0" w14:textId="77777777" w:rsidR="00A25F4B" w:rsidRDefault="00A25F4B" w:rsidP="00A25F4B">
      <w:pPr>
        <w:numPr>
          <w:ilvl w:val="1"/>
          <w:numId w:val="2"/>
        </w:numPr>
        <w:autoSpaceDE w:val="0"/>
        <w:autoSpaceDN w:val="0"/>
        <w:adjustRightInd w:val="0"/>
        <w:rPr>
          <w:color w:val="000000"/>
          <w:szCs w:val="20"/>
          <w:lang w:val="en-US"/>
        </w:rPr>
      </w:pPr>
      <w:r>
        <w:rPr>
          <w:color w:val="000000"/>
          <w:szCs w:val="20"/>
          <w:lang w:val="en-US"/>
        </w:rPr>
        <w:t>Sufficient cash reserves are maintained in the fund to fund deposits and margin calls equal to the impact of a considered maximum movement of the net (short plus long) derivative position.</w:t>
      </w:r>
    </w:p>
    <w:p w14:paraId="061FDAFD" w14:textId="77777777" w:rsidR="00A25F4B" w:rsidRDefault="00A25F4B" w:rsidP="00A25F4B">
      <w:pPr>
        <w:numPr>
          <w:ilvl w:val="1"/>
          <w:numId w:val="2"/>
        </w:numPr>
        <w:autoSpaceDE w:val="0"/>
        <w:autoSpaceDN w:val="0"/>
        <w:adjustRightInd w:val="0"/>
        <w:rPr>
          <w:color w:val="000000"/>
          <w:szCs w:val="20"/>
          <w:lang w:val="en-US"/>
        </w:rPr>
      </w:pPr>
      <w:r>
        <w:rPr>
          <w:color w:val="000000"/>
          <w:szCs w:val="20"/>
          <w:lang w:val="en-US"/>
        </w:rPr>
        <w:t>In order to minimize both counter-party and legal risk, the trustees will use exchange traded options and futures, which are subject to market standard documentation and settlement procedures. Participants in the exchange are subject to regulation.</w:t>
      </w:r>
    </w:p>
    <w:p w14:paraId="0F20CEDD" w14:textId="77777777" w:rsidR="00A25F4B" w:rsidRDefault="00A25F4B" w:rsidP="00A25F4B">
      <w:pPr>
        <w:autoSpaceDE w:val="0"/>
        <w:autoSpaceDN w:val="0"/>
        <w:adjustRightInd w:val="0"/>
        <w:rPr>
          <w:color w:val="000000"/>
          <w:szCs w:val="20"/>
          <w:lang w:val="en-US"/>
        </w:rPr>
      </w:pPr>
    </w:p>
    <w:p w14:paraId="78ACBB8A" w14:textId="77777777" w:rsidR="00A25F4B" w:rsidRDefault="00A25F4B" w:rsidP="00A25F4B">
      <w:pPr>
        <w:autoSpaceDE w:val="0"/>
        <w:autoSpaceDN w:val="0"/>
        <w:adjustRightInd w:val="0"/>
        <w:rPr>
          <w:b/>
          <w:bCs/>
          <w:color w:val="000000"/>
          <w:szCs w:val="20"/>
          <w:lang w:val="en-US"/>
        </w:rPr>
      </w:pPr>
      <w:r>
        <w:rPr>
          <w:b/>
          <w:bCs/>
          <w:color w:val="000000"/>
          <w:lang w:val="en-US"/>
        </w:rPr>
        <w:t>3. COMPLIANCE PROCESSES TO ENSURE THAT CONTROLS ARE EFFECTIVE</w:t>
      </w:r>
    </w:p>
    <w:p w14:paraId="15A3935F" w14:textId="77777777" w:rsidR="00A25F4B" w:rsidRDefault="00A25F4B" w:rsidP="00A25F4B">
      <w:pPr>
        <w:autoSpaceDE w:val="0"/>
        <w:autoSpaceDN w:val="0"/>
        <w:adjustRightInd w:val="0"/>
        <w:rPr>
          <w:b/>
          <w:bCs/>
          <w:color w:val="000000"/>
          <w:szCs w:val="20"/>
          <w:lang w:val="en-US"/>
        </w:rPr>
      </w:pPr>
    </w:p>
    <w:p w14:paraId="3F596F44" w14:textId="77777777" w:rsidR="00A25F4B" w:rsidRDefault="00A25F4B" w:rsidP="00A25F4B">
      <w:pPr>
        <w:autoSpaceDE w:val="0"/>
        <w:autoSpaceDN w:val="0"/>
        <w:adjustRightInd w:val="0"/>
        <w:rPr>
          <w:szCs w:val="20"/>
          <w:lang w:val="en-US"/>
        </w:rPr>
      </w:pPr>
      <w:r>
        <w:rPr>
          <w:color w:val="000000"/>
          <w:szCs w:val="20"/>
          <w:lang w:val="en-US"/>
        </w:rPr>
        <w:t xml:space="preserve">The compliance process for the fund includes ongoing monitoring by the trustees to ensure that the above controls and procedures are effective in controlling and managing the identified risks in the use of derivatives. If deficiencies are identified, the trustees will take corrective action. </w:t>
      </w:r>
      <w:r>
        <w:rPr>
          <w:szCs w:val="20"/>
          <w:lang w:val="en-US"/>
        </w:rPr>
        <w:t>The trustees will review its policies and procedures in an effort to keep current with the evolving derivatives markets and to ensure that they use derivative instruments appropriately and in the best interests of fund members. The trustees will seek advice from an expert investment professional when required to assist with this process.</w:t>
      </w:r>
    </w:p>
    <w:p w14:paraId="650E4FAE" w14:textId="77777777" w:rsidR="00A25F4B" w:rsidRDefault="00A25F4B" w:rsidP="00A25F4B">
      <w:pPr>
        <w:autoSpaceDE w:val="0"/>
        <w:autoSpaceDN w:val="0"/>
        <w:adjustRightInd w:val="0"/>
        <w:rPr>
          <w:color w:val="000000"/>
          <w:szCs w:val="20"/>
          <w:lang w:val="en-US"/>
        </w:rPr>
      </w:pPr>
    </w:p>
    <w:p w14:paraId="7113A717" w14:textId="77777777" w:rsidR="00567EAA" w:rsidRDefault="00567EAA" w:rsidP="00A25F4B">
      <w:pPr>
        <w:pStyle w:val="Heading1"/>
      </w:pPr>
    </w:p>
    <w:p w14:paraId="19FE183E" w14:textId="77777777" w:rsidR="00567EAA" w:rsidRDefault="00567EAA" w:rsidP="00A25F4B">
      <w:pPr>
        <w:pStyle w:val="Heading1"/>
      </w:pPr>
    </w:p>
    <w:p w14:paraId="43F4B1CE" w14:textId="77777777" w:rsidR="00567EAA" w:rsidRDefault="00567EAA" w:rsidP="00A25F4B">
      <w:pPr>
        <w:pStyle w:val="Heading1"/>
      </w:pPr>
    </w:p>
    <w:p w14:paraId="1D55F6EB" w14:textId="77777777" w:rsidR="00567EAA" w:rsidRDefault="00567EAA" w:rsidP="00A25F4B">
      <w:pPr>
        <w:pStyle w:val="Heading1"/>
      </w:pPr>
    </w:p>
    <w:p w14:paraId="62771385" w14:textId="77777777" w:rsidR="0098726B" w:rsidRDefault="0098726B" w:rsidP="0098726B"/>
    <w:p w14:paraId="0D34B7DA" w14:textId="77777777" w:rsidR="0098726B" w:rsidRDefault="0098726B" w:rsidP="0098726B"/>
    <w:p w14:paraId="3A7DD434" w14:textId="77777777" w:rsidR="0098726B" w:rsidRPr="0098726B" w:rsidRDefault="0098726B" w:rsidP="0098726B"/>
    <w:p w14:paraId="05EE4900" w14:textId="77777777" w:rsidR="00567EAA" w:rsidRDefault="00567EAA" w:rsidP="00A25F4B">
      <w:pPr>
        <w:pStyle w:val="Heading1"/>
      </w:pPr>
    </w:p>
    <w:p w14:paraId="21733E3F" w14:textId="77777777" w:rsidR="00A25F4B" w:rsidRDefault="00AA0702" w:rsidP="00A25F4B">
      <w:pPr>
        <w:pStyle w:val="Heading1"/>
      </w:pPr>
      <w:r>
        <w:t>Signed</w:t>
      </w:r>
      <w:r>
        <w:tab/>
      </w:r>
      <w:r>
        <w:tab/>
      </w:r>
      <w:r>
        <w:tab/>
      </w:r>
      <w:r>
        <w:tab/>
      </w:r>
      <w:r>
        <w:tab/>
      </w:r>
    </w:p>
    <w:p w14:paraId="5D27C808" w14:textId="77777777" w:rsidR="00A25F4B" w:rsidRDefault="00A25F4B" w:rsidP="00A25F4B"/>
    <w:p w14:paraId="5A31D03E" w14:textId="77777777" w:rsidR="00AA0702" w:rsidRDefault="00AA0702" w:rsidP="00A25F4B">
      <w:pPr>
        <w:pStyle w:val="Heading2"/>
      </w:pPr>
    </w:p>
    <w:p w14:paraId="440EC599" w14:textId="77777777" w:rsidR="00AA0702" w:rsidRDefault="00AA0702" w:rsidP="00A25F4B">
      <w:pPr>
        <w:pStyle w:val="Heading2"/>
      </w:pPr>
    </w:p>
    <w:p w14:paraId="05BF47B7" w14:textId="77777777" w:rsidR="00567EAA" w:rsidRDefault="00567EAA" w:rsidP="00567EAA"/>
    <w:p w14:paraId="162EF5C0" w14:textId="77777777" w:rsidR="00567EAA" w:rsidRDefault="00567EAA" w:rsidP="00567EAA"/>
    <w:p w14:paraId="2296780E" w14:textId="77777777" w:rsidR="00567EAA" w:rsidRPr="00567EAA" w:rsidRDefault="00567EAA" w:rsidP="00567EAA"/>
    <w:p w14:paraId="0188787F" w14:textId="103F2B91" w:rsidR="00AA0702" w:rsidRDefault="0098726B" w:rsidP="00A25F4B">
      <w:pPr>
        <w:pStyle w:val="Heading2"/>
      </w:pPr>
      <w:r>
        <w:t>……………………………..</w:t>
      </w:r>
      <w:r>
        <w:tab/>
      </w:r>
      <w:r>
        <w:tab/>
      </w:r>
      <w:r>
        <w:tab/>
        <w:t>……………………………..</w:t>
      </w:r>
    </w:p>
    <w:p w14:paraId="6B835795" w14:textId="6E88098B" w:rsidR="00A25F4B" w:rsidRPr="0098726B" w:rsidRDefault="00433EBA" w:rsidP="00CC595E">
      <w:pPr>
        <w:pStyle w:val="Heading2"/>
        <w:rPr>
          <w:rFonts w:ascii="Arial" w:hAnsi="Arial" w:cs="Arial"/>
          <w:sz w:val="20"/>
          <w:szCs w:val="20"/>
        </w:rPr>
      </w:pPr>
      <w:r w:rsidRPr="0098726B">
        <w:rPr>
          <w:rFonts w:ascii="Arial" w:hAnsi="Arial" w:cs="Arial"/>
          <w:sz w:val="20"/>
          <w:szCs w:val="20"/>
        </w:rPr>
        <w:t xml:space="preserve">Mr </w:t>
      </w:r>
      <w:r w:rsidR="0098726B" w:rsidRPr="0098726B">
        <w:rPr>
          <w:rFonts w:ascii="Arial" w:hAnsi="Arial" w:cs="Arial"/>
          <w:sz w:val="20"/>
          <w:szCs w:val="20"/>
        </w:rPr>
        <w:t xml:space="preserve">Bruce </w:t>
      </w:r>
      <w:proofErr w:type="spellStart"/>
      <w:r w:rsidR="0098726B" w:rsidRPr="0098726B">
        <w:rPr>
          <w:rFonts w:ascii="Arial" w:hAnsi="Arial" w:cs="Arial"/>
          <w:sz w:val="20"/>
          <w:szCs w:val="20"/>
        </w:rPr>
        <w:t>Apted</w:t>
      </w:r>
      <w:proofErr w:type="spellEnd"/>
      <w:r w:rsidRPr="0098726B">
        <w:rPr>
          <w:rFonts w:ascii="Arial" w:hAnsi="Arial" w:cs="Arial"/>
          <w:sz w:val="20"/>
          <w:szCs w:val="20"/>
        </w:rPr>
        <w:tab/>
      </w:r>
      <w:r w:rsidRPr="0098726B">
        <w:rPr>
          <w:rFonts w:ascii="Arial" w:hAnsi="Arial" w:cs="Arial"/>
          <w:sz w:val="20"/>
          <w:szCs w:val="20"/>
        </w:rPr>
        <w:tab/>
      </w:r>
      <w:r w:rsidRPr="0098726B">
        <w:rPr>
          <w:rFonts w:ascii="Arial" w:hAnsi="Arial" w:cs="Arial"/>
          <w:sz w:val="20"/>
          <w:szCs w:val="20"/>
        </w:rPr>
        <w:tab/>
      </w:r>
      <w:r w:rsidRPr="0098726B">
        <w:rPr>
          <w:rFonts w:ascii="Arial" w:hAnsi="Arial" w:cs="Arial"/>
          <w:sz w:val="20"/>
          <w:szCs w:val="20"/>
        </w:rPr>
        <w:tab/>
        <w:t xml:space="preserve">Mrs </w:t>
      </w:r>
      <w:r w:rsidR="0098726B" w:rsidRPr="0098726B">
        <w:rPr>
          <w:rFonts w:ascii="Arial" w:hAnsi="Arial" w:cs="Arial"/>
          <w:sz w:val="20"/>
          <w:szCs w:val="20"/>
        </w:rPr>
        <w:t xml:space="preserve">Amanda </w:t>
      </w:r>
      <w:proofErr w:type="spellStart"/>
      <w:r w:rsidR="0098726B" w:rsidRPr="0098726B">
        <w:rPr>
          <w:rFonts w:ascii="Arial" w:hAnsi="Arial" w:cs="Arial"/>
          <w:sz w:val="20"/>
          <w:szCs w:val="20"/>
        </w:rPr>
        <w:t>Apted</w:t>
      </w:r>
      <w:proofErr w:type="spellEnd"/>
      <w:r w:rsidR="00AA0702" w:rsidRPr="0098726B">
        <w:rPr>
          <w:rFonts w:ascii="Arial" w:hAnsi="Arial" w:cs="Arial"/>
          <w:sz w:val="20"/>
          <w:szCs w:val="20"/>
        </w:rPr>
        <w:tab/>
      </w:r>
      <w:r w:rsidR="00AA0702" w:rsidRPr="0098726B">
        <w:rPr>
          <w:rFonts w:ascii="Arial" w:hAnsi="Arial" w:cs="Arial"/>
          <w:sz w:val="20"/>
          <w:szCs w:val="20"/>
        </w:rPr>
        <w:tab/>
      </w:r>
      <w:r w:rsidR="00AA0702" w:rsidRPr="0098726B">
        <w:rPr>
          <w:rFonts w:ascii="Arial" w:hAnsi="Arial" w:cs="Arial"/>
          <w:sz w:val="20"/>
          <w:szCs w:val="20"/>
        </w:rPr>
        <w:tab/>
      </w:r>
      <w:r w:rsidR="00AA0702" w:rsidRPr="0098726B">
        <w:rPr>
          <w:rFonts w:ascii="Arial" w:hAnsi="Arial" w:cs="Arial"/>
          <w:sz w:val="20"/>
          <w:szCs w:val="20"/>
        </w:rPr>
        <w:tab/>
      </w:r>
    </w:p>
    <w:p w14:paraId="28C3D8DB" w14:textId="77777777" w:rsidR="00CC595E" w:rsidRPr="0098726B" w:rsidRDefault="00CC595E" w:rsidP="00A25F4B">
      <w:pPr>
        <w:pStyle w:val="Heading2"/>
        <w:rPr>
          <w:rFonts w:ascii="Arial" w:hAnsi="Arial" w:cs="Arial"/>
          <w:sz w:val="20"/>
          <w:szCs w:val="20"/>
        </w:rPr>
      </w:pPr>
    </w:p>
    <w:p w14:paraId="7C6313F6" w14:textId="111F61F5" w:rsidR="00A25F4B" w:rsidRDefault="003974D7" w:rsidP="00A25F4B">
      <w:pPr>
        <w:pStyle w:val="Heading2"/>
      </w:pPr>
      <w:r w:rsidRPr="0098726B">
        <w:rPr>
          <w:rFonts w:ascii="Arial" w:hAnsi="Arial" w:cs="Arial"/>
          <w:sz w:val="20"/>
          <w:szCs w:val="20"/>
        </w:rPr>
        <w:t>as trustee</w:t>
      </w:r>
      <w:r w:rsidR="00433EBA" w:rsidRPr="0098726B">
        <w:rPr>
          <w:rFonts w:ascii="Arial" w:hAnsi="Arial" w:cs="Arial"/>
          <w:sz w:val="20"/>
          <w:szCs w:val="20"/>
        </w:rPr>
        <w:t>s</w:t>
      </w:r>
      <w:r w:rsidRPr="0098726B">
        <w:rPr>
          <w:rFonts w:ascii="Arial" w:hAnsi="Arial" w:cs="Arial"/>
          <w:sz w:val="20"/>
          <w:szCs w:val="20"/>
        </w:rPr>
        <w:t xml:space="preserve"> for</w:t>
      </w:r>
      <w:r w:rsidR="00433EBA" w:rsidRPr="0098726B">
        <w:rPr>
          <w:rFonts w:ascii="Arial" w:hAnsi="Arial" w:cs="Arial"/>
          <w:sz w:val="20"/>
          <w:szCs w:val="20"/>
        </w:rPr>
        <w:t xml:space="preserve"> the </w:t>
      </w:r>
      <w:r w:rsidR="0098726B" w:rsidRPr="0098726B">
        <w:rPr>
          <w:rFonts w:ascii="Arial" w:hAnsi="Arial" w:cs="Arial"/>
          <w:sz w:val="20"/>
          <w:szCs w:val="20"/>
        </w:rPr>
        <w:t>ABA Investments</w:t>
      </w:r>
      <w:r w:rsidR="00AA0702" w:rsidRPr="0098726B">
        <w:rPr>
          <w:rFonts w:ascii="Arial" w:hAnsi="Arial" w:cs="Arial"/>
          <w:sz w:val="20"/>
          <w:szCs w:val="20"/>
        </w:rPr>
        <w:t xml:space="preserve"> Fund</w:t>
      </w:r>
      <w:r w:rsidR="00AA0702" w:rsidRPr="0098726B">
        <w:rPr>
          <w:rFonts w:ascii="Arial" w:hAnsi="Arial" w:cs="Arial"/>
          <w:sz w:val="20"/>
          <w:szCs w:val="20"/>
        </w:rPr>
        <w:tab/>
      </w:r>
      <w:r w:rsidR="00AA0702" w:rsidRPr="0098726B">
        <w:rPr>
          <w:rFonts w:ascii="Arial" w:hAnsi="Arial" w:cs="Arial"/>
          <w:sz w:val="20"/>
          <w:szCs w:val="20"/>
        </w:rPr>
        <w:tab/>
      </w:r>
      <w:r w:rsidR="00AA0702">
        <w:tab/>
      </w:r>
      <w:r w:rsidR="00AA0702">
        <w:tab/>
      </w:r>
    </w:p>
    <w:p w14:paraId="0001AC5F" w14:textId="76D0E875" w:rsidR="00A25F4B" w:rsidRDefault="00A25F4B">
      <w:r>
        <w:rPr>
          <w:b/>
          <w:bCs/>
        </w:rPr>
        <w:t>Date</w:t>
      </w:r>
      <w:r w:rsidR="003974D7">
        <w:rPr>
          <w:b/>
          <w:bCs/>
        </w:rPr>
        <w:t>:</w:t>
      </w:r>
      <w:r>
        <w:rPr>
          <w:b/>
          <w:bCs/>
        </w:rPr>
        <w:tab/>
      </w:r>
      <w:r w:rsidR="006212F0">
        <w:rPr>
          <w:b/>
          <w:bCs/>
        </w:rPr>
        <w:t>30/06/2021</w:t>
      </w:r>
      <w:bookmarkStart w:id="0" w:name="_GoBack"/>
      <w:bookmarkEnd w:id="0"/>
      <w:r>
        <w:rPr>
          <w:b/>
          <w:bCs/>
        </w:rPr>
        <w:tab/>
      </w:r>
      <w:r>
        <w:rPr>
          <w:b/>
          <w:bCs/>
        </w:rPr>
        <w:tab/>
      </w:r>
      <w:r>
        <w:rPr>
          <w:b/>
          <w:bCs/>
        </w:rPr>
        <w:tab/>
      </w:r>
      <w:r>
        <w:rPr>
          <w:b/>
          <w:bCs/>
        </w:rPr>
        <w:tab/>
      </w:r>
    </w:p>
    <w:sectPr w:rsidR="00A25F4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67763"/>
    <w:multiLevelType w:val="hybridMultilevel"/>
    <w:tmpl w:val="A1BC390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A7026B5"/>
    <w:multiLevelType w:val="hybridMultilevel"/>
    <w:tmpl w:val="E8303F0C"/>
    <w:lvl w:ilvl="0" w:tplc="4A0E4AE6">
      <w:start w:val="1"/>
      <w:numFmt w:val="decimal"/>
      <w:lvlText w:val="%1."/>
      <w:lvlJc w:val="left"/>
      <w:pPr>
        <w:tabs>
          <w:tab w:val="num" w:pos="420"/>
        </w:tabs>
        <w:ind w:left="420" w:hanging="36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3AD23F0F"/>
    <w:multiLevelType w:val="hybridMultilevel"/>
    <w:tmpl w:val="D3423D88"/>
    <w:lvl w:ilvl="0" w:tplc="6B6EF4C6">
      <w:start w:val="1"/>
      <w:numFmt w:val="decimal"/>
      <w:lvlText w:val="%1."/>
      <w:lvlJc w:val="left"/>
      <w:pPr>
        <w:tabs>
          <w:tab w:val="num" w:pos="420"/>
        </w:tabs>
        <w:ind w:left="420" w:hanging="36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F4B"/>
    <w:rsid w:val="00014FC2"/>
    <w:rsid w:val="00283C00"/>
    <w:rsid w:val="00332249"/>
    <w:rsid w:val="003974D7"/>
    <w:rsid w:val="003F7D26"/>
    <w:rsid w:val="00433EBA"/>
    <w:rsid w:val="00567EAA"/>
    <w:rsid w:val="00584D4A"/>
    <w:rsid w:val="005A3D08"/>
    <w:rsid w:val="006212F0"/>
    <w:rsid w:val="007010F4"/>
    <w:rsid w:val="0089761D"/>
    <w:rsid w:val="0098726B"/>
    <w:rsid w:val="00A25F4B"/>
    <w:rsid w:val="00A83D7F"/>
    <w:rsid w:val="00AA0702"/>
    <w:rsid w:val="00AB2D72"/>
    <w:rsid w:val="00B65838"/>
    <w:rsid w:val="00CC5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6E12D4"/>
  <w14:defaultImageDpi w14:val="300"/>
  <w15:chartTrackingRefBased/>
  <w15:docId w15:val="{03C160D8-C7DE-4D84-9E23-8AAF367D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F4B"/>
    <w:rPr>
      <w:rFonts w:ascii="Arial" w:hAnsi="Arial" w:cs="Arial"/>
      <w:szCs w:val="24"/>
      <w:lang w:eastAsia="en-US"/>
    </w:rPr>
  </w:style>
  <w:style w:type="paragraph" w:styleId="Heading1">
    <w:name w:val="heading 1"/>
    <w:basedOn w:val="Normal"/>
    <w:next w:val="Normal"/>
    <w:qFormat/>
    <w:rsid w:val="00A25F4B"/>
    <w:pPr>
      <w:keepNext/>
      <w:jc w:val="both"/>
      <w:outlineLvl w:val="0"/>
    </w:pPr>
    <w:rPr>
      <w:b/>
      <w:bCs/>
      <w:sz w:val="24"/>
    </w:rPr>
  </w:style>
  <w:style w:type="paragraph" w:styleId="Heading2">
    <w:name w:val="heading 2"/>
    <w:basedOn w:val="Normal"/>
    <w:next w:val="Normal"/>
    <w:qFormat/>
    <w:rsid w:val="00A25F4B"/>
    <w:pPr>
      <w:keepNext/>
      <w:outlineLvl w:val="1"/>
    </w:pPr>
    <w:rPr>
      <w:rFonts w:ascii="Times New Roman" w:hAnsi="Times New Roman" w:cs="Times New Roman"/>
      <w:b/>
      <w:bCs/>
      <w:sz w:val="24"/>
    </w:rPr>
  </w:style>
  <w:style w:type="paragraph" w:styleId="Heading3">
    <w:name w:val="heading 3"/>
    <w:basedOn w:val="Normal"/>
    <w:next w:val="Normal"/>
    <w:qFormat/>
    <w:rsid w:val="00A25F4B"/>
    <w:pPr>
      <w:keepNext/>
      <w:autoSpaceDE w:val="0"/>
      <w:autoSpaceDN w:val="0"/>
      <w:adjustRightInd w:val="0"/>
      <w:outlineLvl w:val="2"/>
    </w:pPr>
    <w:rPr>
      <w:b/>
      <w:bCs/>
      <w:szCs w:val="20"/>
      <w:lang w:val="en-US"/>
    </w:rPr>
  </w:style>
  <w:style w:type="paragraph" w:styleId="Heading4">
    <w:name w:val="heading 4"/>
    <w:basedOn w:val="Normal"/>
    <w:next w:val="Normal"/>
    <w:qFormat/>
    <w:rsid w:val="00A25F4B"/>
    <w:pPr>
      <w:keepNext/>
      <w:autoSpaceDE w:val="0"/>
      <w:autoSpaceDN w:val="0"/>
      <w:adjustRightInd w:val="0"/>
      <w:outlineLvl w:val="3"/>
    </w:pPr>
    <w:rPr>
      <w:b/>
      <w:bCs/>
      <w:i/>
      <w:iCs/>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25F4B"/>
    <w:pPr>
      <w:autoSpaceDE w:val="0"/>
      <w:autoSpaceDN w:val="0"/>
      <w:adjustRightInd w:val="0"/>
      <w:jc w:val="both"/>
    </w:pPr>
    <w:rPr>
      <w:szCs w:val="20"/>
      <w:lang w:val="en-US"/>
    </w:rPr>
  </w:style>
  <w:style w:type="paragraph" w:styleId="BodyText2">
    <w:name w:val="Body Text 2"/>
    <w:basedOn w:val="Normal"/>
    <w:rsid w:val="00A25F4B"/>
    <w:rPr>
      <w:lang w:val="en-US"/>
    </w:rPr>
  </w:style>
  <w:style w:type="paragraph" w:styleId="BodyText3">
    <w:name w:val="Body Text 3"/>
    <w:basedOn w:val="Normal"/>
    <w:rsid w:val="00A25F4B"/>
    <w:pPr>
      <w:autoSpaceDE w:val="0"/>
      <w:autoSpaceDN w:val="0"/>
      <w:adjustRightInd w:val="0"/>
    </w:pPr>
    <w:rPr>
      <w:color w:val="000000"/>
      <w:szCs w:val="20"/>
      <w:lang w:val="en-US"/>
    </w:rPr>
  </w:style>
  <w:style w:type="character" w:styleId="Hyperlink">
    <w:name w:val="Hyperlink"/>
    <w:rsid w:val="00B658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MINUTES OF THE MEETING OF THE TRUSTEES</vt:lpstr>
    </vt:vector>
  </TitlesOfParts>
  <Company>Tricom Equities Limited</Company>
  <LinksUpToDate>false</LinksUpToDate>
  <CharactersWithSpaces>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TRUSTEES</dc:title>
  <dc:subject/>
  <dc:creator>Tricom Equities Limited</dc:creator>
  <cp:keywords/>
  <cp:lastModifiedBy>Phil Del Signore</cp:lastModifiedBy>
  <cp:revision>4</cp:revision>
  <dcterms:created xsi:type="dcterms:W3CDTF">2020-03-15T03:03:00Z</dcterms:created>
  <dcterms:modified xsi:type="dcterms:W3CDTF">2021-08-09T23:33:00Z</dcterms:modified>
</cp:coreProperties>
</file>