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D31" w:rsidRDefault="00696D31" w:rsidP="00696D31">
      <w:pPr>
        <w:tabs>
          <w:tab w:val="center" w:pos="4513"/>
        </w:tabs>
        <w:suppressAutoHyphens/>
        <w:jc w:val="center"/>
        <w:rPr>
          <w:b/>
          <w:noProof/>
          <w:spacing w:val="-3"/>
          <w:sz w:val="22"/>
          <w:u w:val="single"/>
        </w:rPr>
      </w:pPr>
      <w:r>
        <w:rPr>
          <w:b/>
          <w:noProof/>
          <w:spacing w:val="-3"/>
          <w:sz w:val="22"/>
          <w:u w:val="single"/>
        </w:rPr>
        <w:t>DEVELOPMENT OF INVESTMENT STRATEGY</w:t>
      </w:r>
    </w:p>
    <w:p w:rsidR="00696D31" w:rsidRPr="00DB67DB" w:rsidRDefault="001C4433" w:rsidP="00696D31">
      <w:pPr>
        <w:ind w:left="1440" w:right="1109"/>
        <w:jc w:val="center"/>
        <w:rPr>
          <w:rFonts w:cs="Arial"/>
          <w:b/>
          <w:bCs/>
          <w:u w:val="single"/>
        </w:rPr>
      </w:pPr>
      <w:r w:rsidRPr="00DB67DB">
        <w:rPr>
          <w:rFonts w:cs="Arial"/>
          <w:b/>
          <w:bCs/>
          <w:u w:val="single"/>
        </w:rPr>
        <w:fldChar w:fldCharType="begin"/>
      </w:r>
      <w:r w:rsidR="00696D31" w:rsidRPr="00DB67DB">
        <w:rPr>
          <w:rFonts w:cs="Arial"/>
          <w:b/>
          <w:bCs/>
          <w:u w:val="single"/>
        </w:rPr>
        <w:instrText xml:space="preserve"> MERGEFIELD "Fund_Name_Capitals" </w:instrText>
      </w:r>
      <w:r w:rsidRPr="00DB67DB">
        <w:rPr>
          <w:rFonts w:cs="Arial"/>
          <w:b/>
          <w:bCs/>
          <w:u w:val="single"/>
        </w:rPr>
        <w:fldChar w:fldCharType="separate"/>
      </w:r>
      <w:r w:rsidR="00696D31" w:rsidRPr="00DE66EF">
        <w:rPr>
          <w:rFonts w:cs="Arial"/>
          <w:b/>
          <w:bCs/>
          <w:noProof/>
          <w:u w:val="single"/>
        </w:rPr>
        <w:t>CRAIG ROSS SUPERANNUATION FUND</w:t>
      </w:r>
      <w:r w:rsidRPr="00DB67DB">
        <w:rPr>
          <w:rFonts w:cs="Arial"/>
          <w:b/>
          <w:bCs/>
          <w:u w:val="single"/>
        </w:rPr>
        <w:fldChar w:fldCharType="end"/>
      </w:r>
    </w:p>
    <w:p w:rsidR="00696D31" w:rsidRDefault="00696D31" w:rsidP="00696D31">
      <w:pPr>
        <w:tabs>
          <w:tab w:val="left" w:pos="-720"/>
        </w:tabs>
        <w:suppressAutoHyphens/>
        <w:rPr>
          <w:noProof/>
          <w:spacing w:val="-2"/>
          <w:sz w:val="22"/>
        </w:rPr>
      </w:pPr>
    </w:p>
    <w:p w:rsidR="00696D31" w:rsidRDefault="00696D31" w:rsidP="00696D31">
      <w:pPr>
        <w:tabs>
          <w:tab w:val="left" w:pos="-720"/>
        </w:tabs>
        <w:suppressAutoHyphens/>
        <w:rPr>
          <w:noProof/>
          <w:spacing w:val="-2"/>
          <w:sz w:val="22"/>
        </w:rPr>
      </w:pPr>
    </w:p>
    <w:p w:rsidR="00696D31" w:rsidRDefault="00696D31" w:rsidP="00696D31">
      <w:pPr>
        <w:tabs>
          <w:tab w:val="left" w:pos="-720"/>
        </w:tabs>
        <w:suppressAutoHyphens/>
        <w:rPr>
          <w:noProof/>
          <w:spacing w:val="-2"/>
          <w:sz w:val="22"/>
        </w:rPr>
      </w:pPr>
    </w:p>
    <w:p w:rsidR="00696D31" w:rsidRDefault="00696D31" w:rsidP="00696D31">
      <w:pPr>
        <w:tabs>
          <w:tab w:val="left" w:pos="-720"/>
        </w:tabs>
        <w:suppressAutoHyphens/>
        <w:rPr>
          <w:noProof/>
          <w:spacing w:val="-2"/>
          <w:sz w:val="22"/>
        </w:rPr>
      </w:pPr>
      <w:r>
        <w:rPr>
          <w:noProof/>
          <w:spacing w:val="-2"/>
          <w:sz w:val="22"/>
        </w:rPr>
        <w:t>In the development and implementation of an investment strategy, the Trustees consider it is appropriate to adopt the following procedure:</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s>
        <w:suppressAutoHyphens/>
        <w:ind w:left="720" w:hanging="720"/>
        <w:rPr>
          <w:noProof/>
          <w:spacing w:val="-2"/>
          <w:sz w:val="22"/>
        </w:rPr>
      </w:pPr>
      <w:r>
        <w:rPr>
          <w:noProof/>
          <w:spacing w:val="-2"/>
          <w:sz w:val="22"/>
        </w:rPr>
        <w:t>1</w:t>
      </w:r>
      <w:r>
        <w:rPr>
          <w:noProof/>
          <w:spacing w:val="-2"/>
          <w:sz w:val="22"/>
        </w:rPr>
        <w:tab/>
        <w:t>Develop an investment policy;</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s>
        <w:suppressAutoHyphens/>
        <w:ind w:left="720" w:hanging="720"/>
        <w:rPr>
          <w:noProof/>
          <w:spacing w:val="-2"/>
          <w:sz w:val="22"/>
        </w:rPr>
      </w:pPr>
      <w:r>
        <w:rPr>
          <w:noProof/>
          <w:spacing w:val="-2"/>
          <w:sz w:val="22"/>
        </w:rPr>
        <w:t>2</w:t>
      </w:r>
      <w:r>
        <w:rPr>
          <w:noProof/>
          <w:spacing w:val="-2"/>
          <w:sz w:val="22"/>
        </w:rPr>
        <w:tab/>
        <w:t>Develop investment objectives;</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s>
        <w:suppressAutoHyphens/>
        <w:ind w:left="720" w:hanging="720"/>
        <w:rPr>
          <w:noProof/>
          <w:spacing w:val="-2"/>
          <w:sz w:val="22"/>
        </w:rPr>
      </w:pPr>
      <w:r>
        <w:rPr>
          <w:noProof/>
          <w:spacing w:val="-2"/>
          <w:sz w:val="22"/>
        </w:rPr>
        <w:t>3</w:t>
      </w:r>
      <w:r>
        <w:rPr>
          <w:noProof/>
          <w:spacing w:val="-2"/>
          <w:sz w:val="22"/>
        </w:rPr>
        <w:tab/>
        <w:t>Develop an investment strategy;</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s>
        <w:suppressAutoHyphens/>
        <w:ind w:left="720" w:hanging="720"/>
        <w:rPr>
          <w:noProof/>
          <w:spacing w:val="-2"/>
          <w:sz w:val="22"/>
        </w:rPr>
      </w:pPr>
      <w:r>
        <w:rPr>
          <w:noProof/>
          <w:spacing w:val="-2"/>
          <w:sz w:val="22"/>
        </w:rPr>
        <w:t>4</w:t>
      </w:r>
      <w:r>
        <w:rPr>
          <w:noProof/>
          <w:spacing w:val="-2"/>
          <w:sz w:val="22"/>
        </w:rPr>
        <w:tab/>
        <w:t>Implement that investment strategy; and</w:t>
      </w:r>
    </w:p>
    <w:p w:rsidR="00696D31" w:rsidRDefault="00696D31" w:rsidP="00696D31">
      <w:pPr>
        <w:tabs>
          <w:tab w:val="left" w:pos="-720"/>
        </w:tabs>
        <w:suppressAutoHyphens/>
        <w:ind w:left="720" w:hanging="720"/>
        <w:rPr>
          <w:noProof/>
          <w:spacing w:val="-2"/>
          <w:sz w:val="22"/>
        </w:rPr>
      </w:pPr>
    </w:p>
    <w:p w:rsidR="00696D31" w:rsidRDefault="00696D31" w:rsidP="00696D31">
      <w:pPr>
        <w:tabs>
          <w:tab w:val="left" w:pos="-720"/>
        </w:tabs>
        <w:suppressAutoHyphens/>
        <w:ind w:left="720" w:hanging="720"/>
        <w:rPr>
          <w:noProof/>
          <w:spacing w:val="-2"/>
          <w:sz w:val="22"/>
        </w:rPr>
      </w:pPr>
      <w:r>
        <w:rPr>
          <w:noProof/>
          <w:spacing w:val="-2"/>
          <w:sz w:val="22"/>
        </w:rPr>
        <w:t>5</w:t>
      </w:r>
      <w:r>
        <w:rPr>
          <w:noProof/>
          <w:spacing w:val="-2"/>
          <w:sz w:val="22"/>
        </w:rPr>
        <w:tab/>
        <w:t>Review the investment strategy.</w:t>
      </w:r>
    </w:p>
    <w:p w:rsidR="00696D31" w:rsidRDefault="00696D31" w:rsidP="00696D31">
      <w:pPr>
        <w:tabs>
          <w:tab w:val="left" w:pos="-720"/>
          <w:tab w:val="left" w:pos="0"/>
        </w:tabs>
        <w:suppressAutoHyphens/>
        <w:ind w:left="720" w:hanging="720"/>
        <w:rPr>
          <w:noProof/>
          <w:spacing w:val="-2"/>
          <w:sz w:val="22"/>
        </w:rPr>
      </w:pPr>
    </w:p>
    <w:p w:rsidR="00696D31" w:rsidRDefault="00696D31" w:rsidP="00696D31">
      <w:pPr>
        <w:tabs>
          <w:tab w:val="left" w:pos="-720"/>
        </w:tabs>
        <w:suppressAutoHyphens/>
        <w:rPr>
          <w:noProof/>
          <w:spacing w:val="-2"/>
          <w:sz w:val="22"/>
        </w:rPr>
      </w:pPr>
    </w:p>
    <w:p w:rsidR="00696D31" w:rsidRDefault="00696D31" w:rsidP="00696D31">
      <w:pPr>
        <w:tabs>
          <w:tab w:val="left" w:pos="-720"/>
        </w:tabs>
        <w:suppressAutoHyphens/>
        <w:rPr>
          <w:noProof/>
          <w:spacing w:val="-2"/>
          <w:sz w:val="22"/>
        </w:rPr>
      </w:pPr>
      <w:r>
        <w:rPr>
          <w:b/>
          <w:noProof/>
          <w:spacing w:val="-2"/>
          <w:sz w:val="22"/>
        </w:rPr>
        <w:t>1</w:t>
      </w:r>
      <w:r>
        <w:rPr>
          <w:b/>
          <w:noProof/>
          <w:spacing w:val="-2"/>
          <w:sz w:val="22"/>
        </w:rPr>
        <w:tab/>
      </w:r>
      <w:r>
        <w:rPr>
          <w:b/>
          <w:noProof/>
          <w:spacing w:val="-2"/>
          <w:sz w:val="22"/>
          <w:u w:val="single"/>
        </w:rPr>
        <w:t>Investment Policy</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 w:val="left" w:pos="720"/>
        </w:tabs>
        <w:suppressAutoHyphens/>
        <w:ind w:left="1440" w:hanging="1440"/>
        <w:rPr>
          <w:noProof/>
          <w:spacing w:val="-2"/>
          <w:sz w:val="22"/>
        </w:rPr>
      </w:pPr>
      <w:r>
        <w:rPr>
          <w:noProof/>
          <w:spacing w:val="-2"/>
          <w:sz w:val="22"/>
        </w:rPr>
        <w:tab/>
        <w:t>i</w:t>
      </w:r>
      <w:r>
        <w:rPr>
          <w:noProof/>
          <w:spacing w:val="-2"/>
          <w:sz w:val="22"/>
        </w:rPr>
        <w:tab/>
        <w:t>The fund will seek to control investment risk by ensuring appropriate diversification through the use of targeted ranges for individual asset classes.</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 w:val="left" w:pos="720"/>
        </w:tabs>
        <w:suppressAutoHyphens/>
        <w:ind w:left="1440" w:hanging="1440"/>
        <w:rPr>
          <w:noProof/>
          <w:spacing w:val="-2"/>
          <w:sz w:val="22"/>
        </w:rPr>
      </w:pPr>
      <w:r>
        <w:rPr>
          <w:noProof/>
          <w:spacing w:val="-2"/>
          <w:sz w:val="22"/>
        </w:rPr>
        <w:tab/>
        <w:t>ii</w:t>
      </w:r>
      <w:r>
        <w:rPr>
          <w:noProof/>
          <w:spacing w:val="-2"/>
          <w:sz w:val="22"/>
        </w:rPr>
        <w:tab/>
        <w:t xml:space="preserve">The fund will aim to achieve an investment return sufficient to comfortably secure members’ benefits and meet their expectations in the medium to long term. </w:t>
      </w:r>
    </w:p>
    <w:p w:rsidR="00696D31" w:rsidRDefault="00696D31" w:rsidP="00696D31">
      <w:pPr>
        <w:tabs>
          <w:tab w:val="left" w:pos="-720"/>
          <w:tab w:val="left" w:pos="0"/>
        </w:tabs>
        <w:suppressAutoHyphens/>
        <w:ind w:left="720" w:hanging="720"/>
        <w:rPr>
          <w:noProof/>
          <w:spacing w:val="-2"/>
          <w:sz w:val="22"/>
        </w:rPr>
      </w:pPr>
      <w:r>
        <w:rPr>
          <w:noProof/>
          <w:spacing w:val="-2"/>
          <w:sz w:val="22"/>
        </w:rPr>
        <w:tab/>
      </w:r>
    </w:p>
    <w:p w:rsidR="00696D31" w:rsidRDefault="00696D31" w:rsidP="00696D31">
      <w:pPr>
        <w:tabs>
          <w:tab w:val="left" w:pos="-720"/>
          <w:tab w:val="left" w:pos="0"/>
        </w:tabs>
        <w:suppressAutoHyphens/>
        <w:ind w:left="720" w:hanging="720"/>
        <w:rPr>
          <w:noProof/>
          <w:spacing w:val="-2"/>
          <w:sz w:val="22"/>
        </w:rPr>
      </w:pPr>
      <w:r>
        <w:rPr>
          <w:noProof/>
          <w:spacing w:val="-2"/>
          <w:sz w:val="22"/>
        </w:rPr>
        <w:tab/>
        <w:t>In developing the investment policy, objectives and strategy the following points were considered by the Trustees:</w:t>
      </w:r>
    </w:p>
    <w:p w:rsidR="00696D31" w:rsidRDefault="00696D31" w:rsidP="00696D31">
      <w:pPr>
        <w:tabs>
          <w:tab w:val="left" w:pos="-720"/>
        </w:tabs>
        <w:suppressAutoHyphens/>
        <w:rPr>
          <w:noProof/>
          <w:spacing w:val="-2"/>
          <w:sz w:val="22"/>
        </w:rPr>
      </w:pPr>
    </w:p>
    <w:p w:rsidR="00696D31" w:rsidRPr="00864BD6" w:rsidRDefault="00696D31" w:rsidP="00696D31">
      <w:pPr>
        <w:pStyle w:val="ListParagraph"/>
        <w:numPr>
          <w:ilvl w:val="0"/>
          <w:numId w:val="1"/>
        </w:numPr>
        <w:tabs>
          <w:tab w:val="left" w:pos="-720"/>
          <w:tab w:val="left" w:pos="0"/>
          <w:tab w:val="left" w:pos="720"/>
        </w:tabs>
        <w:suppressAutoHyphens/>
        <w:rPr>
          <w:noProof/>
          <w:spacing w:val="-2"/>
          <w:sz w:val="22"/>
        </w:rPr>
      </w:pPr>
      <w:r w:rsidRPr="00864BD6">
        <w:rPr>
          <w:noProof/>
          <w:spacing w:val="-2"/>
          <w:sz w:val="22"/>
        </w:rPr>
        <w:t>The Trustees considered the profile of the fund members and the benefit design of the fund.  This enabled the Trustees to ascertain the fund's cash flow requirements, in general terms, and its risk profile.</w:t>
      </w:r>
    </w:p>
    <w:p w:rsidR="00696D31" w:rsidRDefault="00696D31" w:rsidP="00696D31">
      <w:pPr>
        <w:tabs>
          <w:tab w:val="left" w:pos="-720"/>
        </w:tabs>
        <w:suppressAutoHyphens/>
        <w:rPr>
          <w:noProof/>
          <w:spacing w:val="-2"/>
          <w:sz w:val="22"/>
        </w:rPr>
      </w:pPr>
    </w:p>
    <w:p w:rsidR="00696D31" w:rsidRDefault="00696D31" w:rsidP="00696D31">
      <w:pPr>
        <w:pStyle w:val="BodyTextIndent"/>
        <w:numPr>
          <w:ilvl w:val="0"/>
          <w:numId w:val="2"/>
        </w:numPr>
        <w:rPr>
          <w:i/>
          <w:iCs/>
        </w:rPr>
      </w:pPr>
      <w:r>
        <w:rPr>
          <w:i/>
          <w:iCs/>
        </w:rPr>
        <w:t xml:space="preserve"> </w:t>
      </w:r>
      <w:r w:rsidRPr="00864BD6">
        <w:rPr>
          <w:iCs/>
          <w:sz w:val="22"/>
          <w:szCs w:val="22"/>
        </w:rPr>
        <w:t>The fund is an accumulation fund with retirement benefits linked to the contributions made by the member and/or the employer and directly influenced by the investment returns earned by the fund.  As a consequence, the risks and rewards associated with investments are borne by the fund members</w:t>
      </w:r>
      <w:r>
        <w:rPr>
          <w:i/>
          <w:iCs/>
        </w:rPr>
        <w:t>.</w:t>
      </w:r>
    </w:p>
    <w:p w:rsidR="00696D31" w:rsidRDefault="00696D31" w:rsidP="00696D31">
      <w:pPr>
        <w:pStyle w:val="BodyTextIndent"/>
        <w:ind w:left="1440" w:hanging="1440"/>
        <w:rPr>
          <w:i/>
          <w:iCs/>
        </w:rPr>
      </w:pPr>
    </w:p>
    <w:p w:rsidR="00696D31" w:rsidRPr="00864BD6" w:rsidRDefault="00696D31" w:rsidP="00696D31">
      <w:pPr>
        <w:pStyle w:val="ListParagraph"/>
        <w:numPr>
          <w:ilvl w:val="0"/>
          <w:numId w:val="2"/>
        </w:numPr>
        <w:tabs>
          <w:tab w:val="left" w:pos="-720"/>
        </w:tabs>
        <w:suppressAutoHyphens/>
        <w:rPr>
          <w:noProof/>
          <w:spacing w:val="-2"/>
          <w:sz w:val="22"/>
        </w:rPr>
      </w:pPr>
      <w:r w:rsidRPr="00864BD6">
        <w:rPr>
          <w:noProof/>
          <w:spacing w:val="-2"/>
          <w:sz w:val="22"/>
        </w:rPr>
        <w:t>Members generally have different investment return expectations and, therefore, the Trustees were careful to take this into account in deciding on the investment structure of the fund.</w:t>
      </w:r>
    </w:p>
    <w:p w:rsidR="00696D31" w:rsidRDefault="00696D31" w:rsidP="00696D31">
      <w:pPr>
        <w:tabs>
          <w:tab w:val="left" w:pos="-720"/>
        </w:tabs>
        <w:suppressAutoHyphens/>
        <w:ind w:left="1440" w:hanging="720"/>
        <w:rPr>
          <w:noProof/>
          <w:spacing w:val="-2"/>
          <w:sz w:val="22"/>
        </w:rPr>
      </w:pPr>
    </w:p>
    <w:p w:rsidR="00696D31" w:rsidRPr="00864BD6" w:rsidRDefault="00696D31" w:rsidP="00696D31">
      <w:pPr>
        <w:pStyle w:val="ListParagraph"/>
        <w:numPr>
          <w:ilvl w:val="0"/>
          <w:numId w:val="2"/>
        </w:numPr>
        <w:tabs>
          <w:tab w:val="left" w:pos="-720"/>
          <w:tab w:val="left" w:pos="0"/>
          <w:tab w:val="left" w:pos="720"/>
        </w:tabs>
        <w:suppressAutoHyphens/>
        <w:rPr>
          <w:noProof/>
          <w:spacing w:val="-2"/>
          <w:sz w:val="22"/>
        </w:rPr>
      </w:pPr>
      <w:r w:rsidRPr="00864BD6">
        <w:rPr>
          <w:noProof/>
          <w:spacing w:val="-2"/>
          <w:sz w:val="22"/>
        </w:rPr>
        <w:t xml:space="preserve">The Trustees are aware that investment returns are generally influenced by economic and financial factors which are unpredictable.  Therefore, </w:t>
      </w:r>
      <w:r w:rsidRPr="00864BD6">
        <w:rPr>
          <w:noProof/>
          <w:spacing w:val="-2"/>
          <w:sz w:val="22"/>
        </w:rPr>
        <w:lastRenderedPageBreak/>
        <w:t>investments in any form will entail a certain degree of risk reflecting the uncertainty of future returns.</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 w:val="left" w:pos="720"/>
        </w:tabs>
        <w:suppressAutoHyphens/>
        <w:ind w:left="1440" w:hanging="1440"/>
        <w:rPr>
          <w:noProof/>
          <w:spacing w:val="-2"/>
          <w:sz w:val="22"/>
        </w:rPr>
      </w:pPr>
      <w:r>
        <w:rPr>
          <w:noProof/>
          <w:spacing w:val="-2"/>
          <w:sz w:val="22"/>
        </w:rPr>
        <w:tab/>
        <w:t xml:space="preserve">Without the benefit of perfect foresight, the uncertainties in future returns can never </w:t>
      </w:r>
    </w:p>
    <w:p w:rsidR="00696D31" w:rsidRDefault="00696D31" w:rsidP="00696D31">
      <w:pPr>
        <w:tabs>
          <w:tab w:val="left" w:pos="-720"/>
          <w:tab w:val="left" w:pos="0"/>
          <w:tab w:val="left" w:pos="720"/>
        </w:tabs>
        <w:suppressAutoHyphens/>
        <w:ind w:left="1440" w:hanging="1440"/>
        <w:rPr>
          <w:noProof/>
          <w:spacing w:val="-2"/>
          <w:sz w:val="22"/>
        </w:rPr>
      </w:pPr>
      <w:r>
        <w:rPr>
          <w:noProof/>
          <w:spacing w:val="-2"/>
          <w:sz w:val="22"/>
        </w:rPr>
        <w:tab/>
        <w:t xml:space="preserve">be completely eliminated.  The risks however, can be significantly reduced if the </w:t>
      </w:r>
    </w:p>
    <w:p w:rsidR="00696D31" w:rsidRDefault="00696D31" w:rsidP="00696D31">
      <w:pPr>
        <w:tabs>
          <w:tab w:val="left" w:pos="-720"/>
          <w:tab w:val="left" w:pos="0"/>
          <w:tab w:val="left" w:pos="720"/>
        </w:tabs>
        <w:suppressAutoHyphens/>
        <w:ind w:left="1440" w:hanging="1440"/>
        <w:rPr>
          <w:noProof/>
          <w:spacing w:val="-2"/>
          <w:sz w:val="22"/>
        </w:rPr>
      </w:pPr>
      <w:r>
        <w:rPr>
          <w:noProof/>
          <w:spacing w:val="-2"/>
          <w:sz w:val="22"/>
        </w:rPr>
        <w:tab/>
        <w:t>investments are spread across various assets.</w:t>
      </w:r>
    </w:p>
    <w:p w:rsidR="00696D31" w:rsidRDefault="00696D31" w:rsidP="00696D31">
      <w:pPr>
        <w:tabs>
          <w:tab w:val="left" w:pos="-720"/>
          <w:tab w:val="left" w:pos="0"/>
          <w:tab w:val="left" w:pos="720"/>
        </w:tabs>
        <w:suppressAutoHyphens/>
        <w:ind w:left="1440" w:hanging="1440"/>
        <w:rPr>
          <w:noProof/>
          <w:spacing w:val="-2"/>
          <w:sz w:val="22"/>
        </w:rPr>
      </w:pPr>
    </w:p>
    <w:p w:rsidR="00696D31" w:rsidRDefault="00696D31" w:rsidP="00696D31">
      <w:pPr>
        <w:tabs>
          <w:tab w:val="left" w:pos="-720"/>
        </w:tabs>
        <w:suppressAutoHyphens/>
        <w:rPr>
          <w:noProof/>
          <w:spacing w:val="-2"/>
          <w:sz w:val="22"/>
        </w:rPr>
      </w:pPr>
      <w:r>
        <w:rPr>
          <w:noProof/>
          <w:spacing w:val="-2"/>
          <w:sz w:val="22"/>
        </w:rPr>
        <w:tab/>
        <w:t>Diversification can be achieved in various ways:</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 w:val="left" w:pos="720"/>
          <w:tab w:val="left" w:pos="1440"/>
        </w:tabs>
        <w:suppressAutoHyphens/>
        <w:ind w:left="2160" w:hanging="2160"/>
        <w:rPr>
          <w:noProof/>
          <w:spacing w:val="-2"/>
          <w:sz w:val="22"/>
        </w:rPr>
      </w:pPr>
      <w:r>
        <w:rPr>
          <w:noProof/>
          <w:spacing w:val="-2"/>
          <w:sz w:val="22"/>
        </w:rPr>
        <w:tab/>
      </w:r>
      <w:r>
        <w:rPr>
          <w:noProof/>
          <w:spacing w:val="-2"/>
          <w:sz w:val="22"/>
        </w:rPr>
        <w:tab/>
        <w:t>.</w:t>
      </w:r>
      <w:r>
        <w:rPr>
          <w:noProof/>
          <w:spacing w:val="-2"/>
          <w:sz w:val="22"/>
        </w:rPr>
        <w:tab/>
        <w:t>investing in different asset classes as opposed to one single type of asset;</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 w:val="left" w:pos="720"/>
          <w:tab w:val="left" w:pos="1440"/>
        </w:tabs>
        <w:suppressAutoHyphens/>
        <w:ind w:left="2160" w:hanging="2160"/>
        <w:rPr>
          <w:noProof/>
          <w:spacing w:val="-2"/>
          <w:sz w:val="22"/>
        </w:rPr>
      </w:pPr>
      <w:r>
        <w:rPr>
          <w:noProof/>
          <w:spacing w:val="-2"/>
          <w:sz w:val="22"/>
        </w:rPr>
        <w:tab/>
      </w:r>
      <w:r>
        <w:rPr>
          <w:noProof/>
          <w:spacing w:val="-2"/>
          <w:sz w:val="22"/>
        </w:rPr>
        <w:tab/>
        <w:t>.</w:t>
      </w:r>
      <w:r>
        <w:rPr>
          <w:noProof/>
          <w:spacing w:val="-2"/>
          <w:sz w:val="22"/>
        </w:rPr>
        <w:tab/>
        <w:t>investing in a spread of investments within each asset class;</w:t>
      </w:r>
    </w:p>
    <w:p w:rsidR="00696D31" w:rsidRDefault="00696D31" w:rsidP="00696D31">
      <w:pPr>
        <w:tabs>
          <w:tab w:val="left" w:pos="-720"/>
        </w:tabs>
        <w:suppressAutoHyphens/>
        <w:rPr>
          <w:noProof/>
          <w:spacing w:val="-2"/>
          <w:sz w:val="22"/>
        </w:rPr>
      </w:pPr>
    </w:p>
    <w:p w:rsidR="00696D31" w:rsidRDefault="00696D31" w:rsidP="00696D31">
      <w:pPr>
        <w:tabs>
          <w:tab w:val="left" w:pos="-720"/>
        </w:tabs>
        <w:suppressAutoHyphens/>
        <w:rPr>
          <w:noProof/>
          <w:spacing w:val="-2"/>
          <w:sz w:val="22"/>
        </w:rPr>
      </w:pPr>
      <w:r>
        <w:rPr>
          <w:noProof/>
          <w:spacing w:val="-2"/>
          <w:sz w:val="22"/>
        </w:rPr>
        <w:tab/>
      </w:r>
      <w:r>
        <w:rPr>
          <w:noProof/>
          <w:spacing w:val="-2"/>
          <w:sz w:val="22"/>
        </w:rPr>
        <w:tab/>
        <w:t>.</w:t>
      </w:r>
      <w:r>
        <w:rPr>
          <w:noProof/>
          <w:spacing w:val="-2"/>
          <w:sz w:val="22"/>
        </w:rPr>
        <w:tab/>
        <w:t>investing in different countries;</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 w:val="left" w:pos="720"/>
          <w:tab w:val="left" w:pos="1440"/>
        </w:tabs>
        <w:suppressAutoHyphens/>
        <w:ind w:left="2160" w:hanging="2160"/>
        <w:rPr>
          <w:noProof/>
          <w:spacing w:val="-2"/>
          <w:sz w:val="22"/>
        </w:rPr>
      </w:pPr>
      <w:r>
        <w:rPr>
          <w:noProof/>
          <w:spacing w:val="-2"/>
          <w:sz w:val="22"/>
        </w:rPr>
        <w:tab/>
      </w:r>
      <w:r>
        <w:rPr>
          <w:noProof/>
          <w:spacing w:val="-2"/>
          <w:sz w:val="22"/>
        </w:rPr>
        <w:tab/>
        <w:t>.</w:t>
      </w:r>
      <w:r>
        <w:rPr>
          <w:noProof/>
          <w:spacing w:val="-2"/>
          <w:sz w:val="22"/>
        </w:rPr>
        <w:tab/>
        <w:t>gradually building up an exposure to any investment instead of making one large investment;</w:t>
      </w:r>
    </w:p>
    <w:p w:rsidR="00696D31" w:rsidRDefault="00696D31" w:rsidP="00696D31">
      <w:pPr>
        <w:tabs>
          <w:tab w:val="left" w:pos="-720"/>
        </w:tabs>
        <w:suppressAutoHyphens/>
        <w:rPr>
          <w:noProof/>
          <w:spacing w:val="-2"/>
          <w:sz w:val="22"/>
        </w:rPr>
      </w:pPr>
    </w:p>
    <w:p w:rsidR="00696D31" w:rsidRDefault="00696D31" w:rsidP="00696D31">
      <w:pPr>
        <w:tabs>
          <w:tab w:val="left" w:pos="-720"/>
        </w:tabs>
        <w:suppressAutoHyphens/>
        <w:rPr>
          <w:noProof/>
          <w:spacing w:val="-2"/>
          <w:sz w:val="22"/>
        </w:rPr>
      </w:pPr>
      <w:r>
        <w:rPr>
          <w:noProof/>
          <w:spacing w:val="-2"/>
          <w:sz w:val="22"/>
        </w:rPr>
        <w:tab/>
      </w:r>
      <w:r>
        <w:rPr>
          <w:noProof/>
          <w:spacing w:val="-2"/>
          <w:sz w:val="22"/>
        </w:rPr>
        <w:tab/>
        <w:t>.</w:t>
      </w:r>
      <w:r>
        <w:rPr>
          <w:noProof/>
          <w:spacing w:val="-2"/>
          <w:sz w:val="22"/>
        </w:rPr>
        <w:tab/>
        <w:t>using more than one investment manager.</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 w:val="left" w:pos="720"/>
        </w:tabs>
        <w:suppressAutoHyphens/>
        <w:ind w:left="1440" w:hanging="1440"/>
        <w:rPr>
          <w:noProof/>
          <w:spacing w:val="-2"/>
          <w:sz w:val="22"/>
        </w:rPr>
      </w:pPr>
      <w:r>
        <w:rPr>
          <w:noProof/>
          <w:spacing w:val="-2"/>
          <w:sz w:val="22"/>
        </w:rPr>
        <w:tab/>
        <w:t xml:space="preserve">Assets with completely opposite return characteristics provide the best </w:t>
      </w:r>
    </w:p>
    <w:p w:rsidR="00696D31" w:rsidRDefault="00696D31" w:rsidP="00696D31">
      <w:pPr>
        <w:tabs>
          <w:tab w:val="left" w:pos="-720"/>
          <w:tab w:val="left" w:pos="0"/>
          <w:tab w:val="left" w:pos="720"/>
        </w:tabs>
        <w:suppressAutoHyphens/>
        <w:ind w:left="1440" w:hanging="1440"/>
        <w:rPr>
          <w:noProof/>
          <w:spacing w:val="-2"/>
          <w:sz w:val="22"/>
        </w:rPr>
      </w:pPr>
      <w:r>
        <w:rPr>
          <w:noProof/>
          <w:spacing w:val="-2"/>
          <w:sz w:val="22"/>
        </w:rPr>
        <w:tab/>
        <w:t>diversification. In practice however, no two assets will behave in exactly the</w:t>
      </w:r>
    </w:p>
    <w:p w:rsidR="00696D31" w:rsidRDefault="00696D31" w:rsidP="00696D31">
      <w:pPr>
        <w:tabs>
          <w:tab w:val="left" w:pos="-720"/>
          <w:tab w:val="left" w:pos="0"/>
          <w:tab w:val="left" w:pos="720"/>
        </w:tabs>
        <w:suppressAutoHyphens/>
        <w:ind w:left="1440" w:hanging="1440"/>
        <w:rPr>
          <w:noProof/>
          <w:spacing w:val="-2"/>
          <w:sz w:val="22"/>
        </w:rPr>
      </w:pPr>
      <w:r>
        <w:rPr>
          <w:noProof/>
          <w:spacing w:val="-2"/>
          <w:sz w:val="22"/>
        </w:rPr>
        <w:tab/>
        <w:t>opposite manner.  In forming a portfolio therefore, assets with differing patterns of</w:t>
      </w:r>
    </w:p>
    <w:p w:rsidR="00696D31" w:rsidRDefault="00696D31" w:rsidP="00696D31">
      <w:pPr>
        <w:tabs>
          <w:tab w:val="left" w:pos="-720"/>
          <w:tab w:val="left" w:pos="0"/>
          <w:tab w:val="left" w:pos="720"/>
        </w:tabs>
        <w:suppressAutoHyphens/>
        <w:ind w:left="1440" w:hanging="1440"/>
        <w:rPr>
          <w:noProof/>
          <w:spacing w:val="-2"/>
          <w:sz w:val="22"/>
        </w:rPr>
      </w:pPr>
      <w:r>
        <w:rPr>
          <w:noProof/>
          <w:spacing w:val="-2"/>
          <w:sz w:val="22"/>
        </w:rPr>
        <w:tab/>
        <w:t>returns should be selected.</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 w:val="left" w:pos="720"/>
        </w:tabs>
        <w:suppressAutoHyphens/>
        <w:ind w:left="1440" w:hanging="1440"/>
        <w:rPr>
          <w:noProof/>
          <w:spacing w:val="-2"/>
          <w:sz w:val="22"/>
        </w:rPr>
      </w:pPr>
      <w:r>
        <w:rPr>
          <w:noProof/>
          <w:spacing w:val="-2"/>
          <w:sz w:val="22"/>
        </w:rPr>
        <w:tab/>
        <w:t>The Trustees were also aware that at some stage it may be appropriate to invest a</w:t>
      </w:r>
    </w:p>
    <w:p w:rsidR="00696D31" w:rsidRDefault="00696D31" w:rsidP="00696D31">
      <w:pPr>
        <w:tabs>
          <w:tab w:val="left" w:pos="-720"/>
          <w:tab w:val="left" w:pos="0"/>
          <w:tab w:val="left" w:pos="720"/>
        </w:tabs>
        <w:suppressAutoHyphens/>
        <w:ind w:left="1440" w:hanging="1440"/>
        <w:rPr>
          <w:noProof/>
          <w:spacing w:val="-2"/>
          <w:sz w:val="22"/>
        </w:rPr>
      </w:pPr>
      <w:r>
        <w:rPr>
          <w:noProof/>
          <w:spacing w:val="-2"/>
          <w:sz w:val="22"/>
        </w:rPr>
        <w:tab/>
        <w:t>significant part of the portfolio in a particular asset class (eg property) given the</w:t>
      </w:r>
    </w:p>
    <w:p w:rsidR="00696D31" w:rsidRDefault="00696D31" w:rsidP="00696D31">
      <w:pPr>
        <w:tabs>
          <w:tab w:val="left" w:pos="-720"/>
          <w:tab w:val="left" w:pos="0"/>
          <w:tab w:val="left" w:pos="720"/>
        </w:tabs>
        <w:suppressAutoHyphens/>
        <w:ind w:left="1440" w:hanging="1440"/>
        <w:rPr>
          <w:noProof/>
          <w:spacing w:val="-2"/>
          <w:sz w:val="22"/>
        </w:rPr>
      </w:pPr>
      <w:r>
        <w:rPr>
          <w:noProof/>
          <w:spacing w:val="-2"/>
          <w:sz w:val="22"/>
        </w:rPr>
        <w:tab/>
        <w:t>inherent nature of this asset.  This would need to be done bearing in mind the lack</w:t>
      </w:r>
    </w:p>
    <w:p w:rsidR="00696D31" w:rsidRDefault="00696D31" w:rsidP="00696D31">
      <w:pPr>
        <w:tabs>
          <w:tab w:val="left" w:pos="-720"/>
          <w:tab w:val="left" w:pos="0"/>
          <w:tab w:val="left" w:pos="720"/>
        </w:tabs>
        <w:suppressAutoHyphens/>
        <w:ind w:left="1440" w:hanging="1440"/>
        <w:rPr>
          <w:noProof/>
          <w:spacing w:val="-2"/>
          <w:sz w:val="22"/>
        </w:rPr>
      </w:pPr>
      <w:r>
        <w:rPr>
          <w:noProof/>
          <w:spacing w:val="-2"/>
          <w:sz w:val="22"/>
        </w:rPr>
        <w:tab/>
        <w:t>of diversification  involved in the short term and cognisant of the risks associated.</w:t>
      </w:r>
    </w:p>
    <w:p w:rsidR="00696D31" w:rsidRDefault="00696D31" w:rsidP="00696D31">
      <w:pPr>
        <w:tabs>
          <w:tab w:val="left" w:pos="-720"/>
        </w:tabs>
        <w:suppressAutoHyphens/>
        <w:rPr>
          <w:noProof/>
          <w:spacing w:val="-2"/>
          <w:sz w:val="22"/>
        </w:rPr>
      </w:pPr>
    </w:p>
    <w:p w:rsidR="00696D31" w:rsidRPr="00864BD6" w:rsidRDefault="00696D31" w:rsidP="00696D31">
      <w:pPr>
        <w:pStyle w:val="ListParagraph"/>
        <w:numPr>
          <w:ilvl w:val="0"/>
          <w:numId w:val="2"/>
        </w:numPr>
        <w:tabs>
          <w:tab w:val="left" w:pos="-720"/>
          <w:tab w:val="left" w:pos="0"/>
          <w:tab w:val="left" w:pos="720"/>
        </w:tabs>
        <w:suppressAutoHyphens/>
        <w:rPr>
          <w:noProof/>
          <w:spacing w:val="-2"/>
          <w:sz w:val="22"/>
        </w:rPr>
      </w:pPr>
      <w:r w:rsidRPr="00864BD6">
        <w:rPr>
          <w:noProof/>
          <w:spacing w:val="-2"/>
          <w:sz w:val="22"/>
        </w:rPr>
        <w:t>In relation to equities, the Trustees acknowledge that portfolios with higher equity weightings cannot be expected to produce higher returns than more conservative portfolios over all time periods.  There will certainly be some periods, even quite long ones, when the reverse is true.  Nevertheless, it is reasonable to plan on the basis that, over the long term, a portfolio with a higher weighting to shares and property will provide a higher long term return but will also produce the occasional year(s) of very low and even negative returns.</w:t>
      </w:r>
    </w:p>
    <w:p w:rsidR="00696D31" w:rsidRDefault="00696D31" w:rsidP="00696D31">
      <w:pPr>
        <w:tabs>
          <w:tab w:val="left" w:pos="-720"/>
        </w:tabs>
        <w:suppressAutoHyphens/>
        <w:rPr>
          <w:noProof/>
          <w:spacing w:val="-2"/>
          <w:sz w:val="22"/>
        </w:rPr>
      </w:pPr>
    </w:p>
    <w:p w:rsidR="00696D31" w:rsidRDefault="00696D31" w:rsidP="00696D31">
      <w:pPr>
        <w:tabs>
          <w:tab w:val="left" w:pos="-720"/>
        </w:tabs>
        <w:suppressAutoHyphens/>
        <w:rPr>
          <w:noProof/>
          <w:spacing w:val="-2"/>
          <w:sz w:val="22"/>
        </w:rPr>
      </w:pPr>
    </w:p>
    <w:p w:rsidR="00696D31" w:rsidRDefault="00696D31" w:rsidP="00696D31">
      <w:pPr>
        <w:tabs>
          <w:tab w:val="left" w:pos="-720"/>
        </w:tabs>
        <w:suppressAutoHyphens/>
        <w:rPr>
          <w:noProof/>
          <w:spacing w:val="-2"/>
          <w:sz w:val="22"/>
        </w:rPr>
      </w:pPr>
      <w:r>
        <w:rPr>
          <w:b/>
          <w:noProof/>
          <w:spacing w:val="-2"/>
          <w:sz w:val="22"/>
        </w:rPr>
        <w:t>2</w:t>
      </w:r>
      <w:r>
        <w:rPr>
          <w:b/>
          <w:noProof/>
          <w:spacing w:val="-2"/>
          <w:sz w:val="22"/>
        </w:rPr>
        <w:tab/>
      </w:r>
      <w:r>
        <w:rPr>
          <w:b/>
          <w:noProof/>
          <w:spacing w:val="-2"/>
          <w:sz w:val="22"/>
          <w:u w:val="single"/>
        </w:rPr>
        <w:t>Objectives and Benchmarks</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s>
        <w:suppressAutoHyphens/>
        <w:ind w:left="720" w:hanging="720"/>
        <w:rPr>
          <w:noProof/>
          <w:spacing w:val="-2"/>
          <w:sz w:val="22"/>
        </w:rPr>
      </w:pPr>
      <w:r>
        <w:rPr>
          <w:noProof/>
          <w:spacing w:val="-2"/>
          <w:sz w:val="22"/>
        </w:rPr>
        <w:tab/>
        <w:t>Given the review of the above factors, the Trustees consider it appropriate to adopt an objective which is set out in an Appendix to this document.  This objective is to be measured:</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 w:val="left" w:pos="720"/>
        </w:tabs>
        <w:suppressAutoHyphens/>
        <w:ind w:left="1440" w:hanging="1440"/>
        <w:rPr>
          <w:noProof/>
          <w:spacing w:val="-2"/>
          <w:sz w:val="22"/>
        </w:rPr>
      </w:pPr>
      <w:r>
        <w:rPr>
          <w:noProof/>
          <w:spacing w:val="-2"/>
          <w:sz w:val="22"/>
        </w:rPr>
        <w:tab/>
        <w:t>a</w:t>
      </w:r>
      <w:r>
        <w:rPr>
          <w:noProof/>
          <w:spacing w:val="-2"/>
          <w:sz w:val="22"/>
        </w:rPr>
        <w:tab/>
        <w:t>By comparison to the cash return which is the published return on average of the cash management trusts</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 w:val="left" w:pos="720"/>
        </w:tabs>
        <w:suppressAutoHyphens/>
        <w:ind w:left="1440" w:hanging="1440"/>
        <w:rPr>
          <w:noProof/>
          <w:spacing w:val="-2"/>
          <w:sz w:val="22"/>
        </w:rPr>
      </w:pPr>
      <w:r>
        <w:rPr>
          <w:noProof/>
          <w:spacing w:val="-2"/>
          <w:sz w:val="22"/>
        </w:rPr>
        <w:tab/>
        <w:t>b</w:t>
      </w:r>
      <w:r>
        <w:rPr>
          <w:noProof/>
          <w:spacing w:val="-2"/>
          <w:sz w:val="22"/>
        </w:rPr>
        <w:tab/>
        <w:t>After adjusting for tax by a reduction of 15% on the amount in (a) above;</w:t>
      </w:r>
    </w:p>
    <w:p w:rsidR="00696D31" w:rsidRDefault="00696D31" w:rsidP="00696D31">
      <w:pPr>
        <w:tabs>
          <w:tab w:val="left" w:pos="-720"/>
          <w:tab w:val="left" w:pos="0"/>
          <w:tab w:val="left" w:pos="720"/>
        </w:tabs>
        <w:suppressAutoHyphens/>
        <w:ind w:left="1440" w:hanging="1440"/>
        <w:rPr>
          <w:noProof/>
          <w:spacing w:val="-2"/>
          <w:sz w:val="22"/>
        </w:rPr>
      </w:pPr>
    </w:p>
    <w:p w:rsidR="00696D31" w:rsidRDefault="00696D31" w:rsidP="00696D31">
      <w:pPr>
        <w:tabs>
          <w:tab w:val="left" w:pos="-720"/>
          <w:tab w:val="left" w:pos="0"/>
          <w:tab w:val="left" w:pos="720"/>
        </w:tabs>
        <w:suppressAutoHyphens/>
        <w:ind w:left="1440" w:hanging="1440"/>
        <w:rPr>
          <w:noProof/>
          <w:spacing w:val="-2"/>
          <w:sz w:val="22"/>
        </w:rPr>
      </w:pPr>
      <w:r>
        <w:rPr>
          <w:noProof/>
          <w:spacing w:val="-2"/>
          <w:sz w:val="22"/>
        </w:rPr>
        <w:tab/>
        <w:t>c</w:t>
      </w:r>
      <w:r>
        <w:rPr>
          <w:noProof/>
          <w:spacing w:val="-2"/>
          <w:sz w:val="22"/>
        </w:rPr>
        <w:tab/>
        <w:t>Annually as at 30 June each year.</w:t>
      </w:r>
    </w:p>
    <w:p w:rsidR="00696D31" w:rsidRDefault="00696D31" w:rsidP="00696D31">
      <w:pPr>
        <w:tabs>
          <w:tab w:val="left" w:pos="-720"/>
        </w:tabs>
        <w:suppressAutoHyphens/>
        <w:rPr>
          <w:noProof/>
          <w:spacing w:val="-2"/>
          <w:sz w:val="22"/>
        </w:rPr>
      </w:pPr>
    </w:p>
    <w:p w:rsidR="00696D31" w:rsidRDefault="00696D31" w:rsidP="00696D31">
      <w:pPr>
        <w:tabs>
          <w:tab w:val="left" w:pos="-720"/>
        </w:tabs>
        <w:suppressAutoHyphens/>
        <w:rPr>
          <w:noProof/>
          <w:spacing w:val="-2"/>
          <w:sz w:val="22"/>
        </w:rPr>
      </w:pPr>
    </w:p>
    <w:p w:rsidR="00696D31" w:rsidRDefault="00696D31" w:rsidP="00696D31">
      <w:pPr>
        <w:tabs>
          <w:tab w:val="left" w:pos="-720"/>
        </w:tabs>
        <w:suppressAutoHyphens/>
        <w:rPr>
          <w:noProof/>
          <w:spacing w:val="-2"/>
          <w:sz w:val="22"/>
        </w:rPr>
      </w:pPr>
      <w:r>
        <w:rPr>
          <w:b/>
          <w:noProof/>
          <w:spacing w:val="-2"/>
          <w:sz w:val="22"/>
        </w:rPr>
        <w:t>3</w:t>
      </w:r>
      <w:r>
        <w:rPr>
          <w:b/>
          <w:noProof/>
          <w:spacing w:val="-2"/>
          <w:sz w:val="22"/>
        </w:rPr>
        <w:tab/>
      </w:r>
      <w:r>
        <w:rPr>
          <w:b/>
          <w:noProof/>
          <w:spacing w:val="-2"/>
          <w:sz w:val="22"/>
          <w:u w:val="single"/>
        </w:rPr>
        <w:t>Investment Strategy</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s>
        <w:suppressAutoHyphens/>
        <w:ind w:left="720" w:hanging="720"/>
        <w:rPr>
          <w:noProof/>
          <w:spacing w:val="-2"/>
          <w:sz w:val="22"/>
        </w:rPr>
      </w:pPr>
      <w:r>
        <w:rPr>
          <w:noProof/>
          <w:spacing w:val="-2"/>
          <w:sz w:val="22"/>
        </w:rPr>
        <w:tab/>
        <w:t>The proposed strategic asset allocation to achieve this investment objective is set out in an Appendix</w:t>
      </w:r>
      <w:r>
        <w:rPr>
          <w:b/>
          <w:noProof/>
          <w:spacing w:val="-2"/>
          <w:sz w:val="22"/>
        </w:rPr>
        <w:t xml:space="preserve"> </w:t>
      </w:r>
      <w:r>
        <w:rPr>
          <w:noProof/>
          <w:spacing w:val="-2"/>
          <w:sz w:val="22"/>
        </w:rPr>
        <w:t xml:space="preserve">to this document.  </w:t>
      </w:r>
    </w:p>
    <w:p w:rsidR="00696D31" w:rsidRDefault="00696D31" w:rsidP="00696D31">
      <w:pPr>
        <w:tabs>
          <w:tab w:val="left" w:pos="-720"/>
        </w:tabs>
        <w:suppressAutoHyphens/>
        <w:rPr>
          <w:noProof/>
          <w:spacing w:val="-2"/>
          <w:sz w:val="22"/>
        </w:rPr>
      </w:pPr>
    </w:p>
    <w:p w:rsidR="00696D31" w:rsidRDefault="00696D31" w:rsidP="00696D31">
      <w:pPr>
        <w:tabs>
          <w:tab w:val="left" w:pos="-720"/>
          <w:tab w:val="left" w:pos="0"/>
        </w:tabs>
        <w:suppressAutoHyphens/>
        <w:ind w:left="720" w:hanging="720"/>
        <w:rPr>
          <w:noProof/>
          <w:spacing w:val="-2"/>
          <w:sz w:val="22"/>
        </w:rPr>
      </w:pPr>
      <w:r>
        <w:rPr>
          <w:noProof/>
          <w:spacing w:val="-2"/>
          <w:sz w:val="22"/>
        </w:rPr>
        <w:tab/>
        <w:t xml:space="preserve">The Trustees develop an appropriate recommended asset allocation on the basis of predicted returns of the various asset classes over a five year period.  Those asset allocations are re-weighted from time to time, based on the view of the various markets.  </w:t>
      </w:r>
    </w:p>
    <w:p w:rsidR="00696D31" w:rsidRDefault="00696D31" w:rsidP="00696D31">
      <w:pPr>
        <w:tabs>
          <w:tab w:val="left" w:pos="-720"/>
        </w:tabs>
        <w:suppressAutoHyphens/>
        <w:rPr>
          <w:noProof/>
          <w:spacing w:val="-2"/>
          <w:sz w:val="22"/>
        </w:rPr>
      </w:pPr>
    </w:p>
    <w:p w:rsidR="00696D31" w:rsidRDefault="00696D31" w:rsidP="00696D31">
      <w:pPr>
        <w:tabs>
          <w:tab w:val="left" w:pos="-720"/>
        </w:tabs>
        <w:suppressAutoHyphens/>
        <w:rPr>
          <w:b/>
          <w:noProof/>
          <w:spacing w:val="-2"/>
          <w:sz w:val="22"/>
        </w:rPr>
      </w:pPr>
    </w:p>
    <w:p w:rsidR="00696D31" w:rsidRDefault="00696D31" w:rsidP="00696D31">
      <w:pPr>
        <w:tabs>
          <w:tab w:val="left" w:pos="-720"/>
        </w:tabs>
        <w:suppressAutoHyphens/>
        <w:rPr>
          <w:noProof/>
          <w:spacing w:val="-2"/>
          <w:sz w:val="22"/>
        </w:rPr>
      </w:pPr>
      <w:r>
        <w:rPr>
          <w:b/>
          <w:noProof/>
          <w:spacing w:val="-2"/>
          <w:sz w:val="22"/>
        </w:rPr>
        <w:t>4</w:t>
      </w:r>
      <w:r>
        <w:rPr>
          <w:b/>
          <w:noProof/>
          <w:spacing w:val="-2"/>
          <w:sz w:val="22"/>
        </w:rPr>
        <w:tab/>
      </w:r>
      <w:r>
        <w:rPr>
          <w:b/>
          <w:noProof/>
          <w:spacing w:val="-2"/>
          <w:sz w:val="22"/>
          <w:u w:val="single"/>
        </w:rPr>
        <w:t>Implementation of Investment Strategy</w:t>
      </w:r>
    </w:p>
    <w:p w:rsidR="00696D31" w:rsidRDefault="00696D31" w:rsidP="00696D31">
      <w:pPr>
        <w:tabs>
          <w:tab w:val="left" w:pos="-720"/>
        </w:tabs>
        <w:suppressAutoHyphens/>
        <w:rPr>
          <w:noProof/>
          <w:spacing w:val="-2"/>
          <w:sz w:val="22"/>
        </w:rPr>
      </w:pPr>
    </w:p>
    <w:p w:rsidR="00696D31" w:rsidRDefault="00696D31" w:rsidP="00696D31">
      <w:pPr>
        <w:tabs>
          <w:tab w:val="left" w:pos="-720"/>
        </w:tabs>
        <w:suppressAutoHyphens/>
        <w:ind w:left="720" w:hanging="720"/>
        <w:rPr>
          <w:noProof/>
          <w:spacing w:val="-2"/>
          <w:sz w:val="22"/>
        </w:rPr>
      </w:pPr>
      <w:r>
        <w:rPr>
          <w:noProof/>
          <w:spacing w:val="-2"/>
          <w:sz w:val="22"/>
        </w:rPr>
        <w:tab/>
        <w:t xml:space="preserve">Details of how the Trustees will implement the fund’s investment strategy are set out in an Appendix to this document.  </w:t>
      </w:r>
    </w:p>
    <w:p w:rsidR="00696D31" w:rsidRDefault="00696D31" w:rsidP="00696D31">
      <w:pPr>
        <w:tabs>
          <w:tab w:val="left" w:pos="-720"/>
        </w:tabs>
        <w:suppressAutoHyphens/>
        <w:rPr>
          <w:noProof/>
          <w:spacing w:val="-2"/>
          <w:sz w:val="22"/>
        </w:rPr>
      </w:pPr>
    </w:p>
    <w:p w:rsidR="00696D31" w:rsidRDefault="00696D31" w:rsidP="00696D31">
      <w:pPr>
        <w:tabs>
          <w:tab w:val="left" w:pos="-720"/>
        </w:tabs>
        <w:suppressAutoHyphens/>
        <w:rPr>
          <w:noProof/>
          <w:spacing w:val="-2"/>
          <w:sz w:val="22"/>
        </w:rPr>
      </w:pPr>
    </w:p>
    <w:p w:rsidR="00696D31" w:rsidRDefault="00696D31" w:rsidP="00696D31">
      <w:pPr>
        <w:tabs>
          <w:tab w:val="left" w:pos="-720"/>
        </w:tabs>
        <w:suppressAutoHyphens/>
        <w:rPr>
          <w:b/>
          <w:noProof/>
          <w:spacing w:val="-2"/>
          <w:sz w:val="22"/>
          <w:u w:val="single"/>
        </w:rPr>
      </w:pPr>
      <w:r>
        <w:rPr>
          <w:b/>
          <w:noProof/>
          <w:spacing w:val="-2"/>
          <w:sz w:val="22"/>
        </w:rPr>
        <w:t>5</w:t>
      </w:r>
      <w:r>
        <w:rPr>
          <w:noProof/>
          <w:spacing w:val="-2"/>
          <w:sz w:val="22"/>
        </w:rPr>
        <w:tab/>
      </w:r>
      <w:r>
        <w:rPr>
          <w:b/>
          <w:noProof/>
          <w:spacing w:val="-2"/>
          <w:sz w:val="22"/>
          <w:u w:val="single"/>
        </w:rPr>
        <w:t>Review of Investment Strategy</w:t>
      </w:r>
    </w:p>
    <w:p w:rsidR="00696D31" w:rsidRDefault="00696D31" w:rsidP="00696D31">
      <w:pPr>
        <w:tabs>
          <w:tab w:val="left" w:pos="-720"/>
        </w:tabs>
        <w:suppressAutoHyphens/>
        <w:rPr>
          <w:noProof/>
          <w:spacing w:val="-2"/>
          <w:sz w:val="22"/>
        </w:rPr>
      </w:pPr>
    </w:p>
    <w:p w:rsidR="00696D31" w:rsidRDefault="00696D31" w:rsidP="00696D31">
      <w:pPr>
        <w:tabs>
          <w:tab w:val="left" w:pos="-720"/>
        </w:tabs>
        <w:suppressAutoHyphens/>
        <w:ind w:left="720" w:hanging="720"/>
        <w:rPr>
          <w:noProof/>
          <w:spacing w:val="-2"/>
          <w:sz w:val="22"/>
        </w:rPr>
      </w:pPr>
      <w:r>
        <w:rPr>
          <w:noProof/>
          <w:spacing w:val="-2"/>
          <w:sz w:val="22"/>
        </w:rPr>
        <w:tab/>
        <w:t>A review of investment performance and the circumstances of the fund and its members will be made at least annually.  This review will assist the Trustees in determining whether any changes to the investment strategy are necessary.</w:t>
      </w:r>
    </w:p>
    <w:p w:rsidR="00696D31" w:rsidRDefault="00696D31" w:rsidP="00696D31">
      <w:pPr>
        <w:tabs>
          <w:tab w:val="left" w:pos="-720"/>
          <w:tab w:val="left" w:pos="0"/>
        </w:tabs>
        <w:suppressAutoHyphens/>
        <w:ind w:left="720" w:hanging="720"/>
        <w:rPr>
          <w:noProof/>
          <w:spacing w:val="-2"/>
          <w:sz w:val="22"/>
        </w:rPr>
      </w:pPr>
    </w:p>
    <w:p w:rsidR="00696D31" w:rsidRDefault="00696D31" w:rsidP="00696D31">
      <w:pPr>
        <w:tabs>
          <w:tab w:val="left" w:pos="-720"/>
          <w:tab w:val="left" w:pos="0"/>
        </w:tabs>
        <w:suppressAutoHyphens/>
        <w:ind w:left="720" w:hanging="720"/>
        <w:rPr>
          <w:noProof/>
          <w:spacing w:val="-2"/>
          <w:sz w:val="22"/>
        </w:rPr>
      </w:pPr>
    </w:p>
    <w:p w:rsidR="00696D31" w:rsidRDefault="00696D31" w:rsidP="00696D31">
      <w:pPr>
        <w:tabs>
          <w:tab w:val="left" w:pos="-720"/>
          <w:tab w:val="left" w:pos="0"/>
        </w:tabs>
        <w:suppressAutoHyphens/>
        <w:ind w:left="720" w:hanging="720"/>
        <w:rPr>
          <w:noProof/>
          <w:spacing w:val="-2"/>
          <w:sz w:val="22"/>
        </w:rPr>
      </w:pPr>
    </w:p>
    <w:p w:rsidR="00696D31" w:rsidRDefault="00696D31" w:rsidP="00696D31">
      <w:pPr>
        <w:tabs>
          <w:tab w:val="left" w:pos="-720"/>
          <w:tab w:val="left" w:pos="0"/>
        </w:tabs>
        <w:suppressAutoHyphens/>
        <w:ind w:left="720" w:hanging="720"/>
        <w:rPr>
          <w:noProof/>
          <w:spacing w:val="-2"/>
          <w:sz w:val="22"/>
        </w:rPr>
      </w:pPr>
    </w:p>
    <w:p w:rsidR="00696D31" w:rsidRDefault="00696D31" w:rsidP="00696D31">
      <w:pPr>
        <w:tabs>
          <w:tab w:val="left" w:pos="-720"/>
          <w:tab w:val="left" w:pos="0"/>
        </w:tabs>
        <w:suppressAutoHyphens/>
        <w:ind w:left="720" w:hanging="720"/>
        <w:rPr>
          <w:noProof/>
          <w:spacing w:val="-2"/>
          <w:sz w:val="22"/>
        </w:rPr>
      </w:pPr>
    </w:p>
    <w:p w:rsidR="00696D31" w:rsidRDefault="00696D31" w:rsidP="00696D31">
      <w:pPr>
        <w:tabs>
          <w:tab w:val="left" w:pos="-720"/>
          <w:tab w:val="left" w:pos="0"/>
        </w:tabs>
        <w:suppressAutoHyphens/>
        <w:ind w:left="720" w:hanging="720"/>
        <w:rPr>
          <w:noProof/>
          <w:spacing w:val="-2"/>
          <w:sz w:val="22"/>
        </w:rPr>
      </w:pPr>
    </w:p>
    <w:p w:rsidR="00696D31" w:rsidRDefault="00696D31" w:rsidP="00696D31">
      <w:pPr>
        <w:tabs>
          <w:tab w:val="left" w:pos="-720"/>
          <w:tab w:val="left" w:pos="0"/>
        </w:tabs>
        <w:suppressAutoHyphens/>
        <w:ind w:left="720" w:hanging="720"/>
        <w:rPr>
          <w:noProof/>
          <w:spacing w:val="-2"/>
          <w:sz w:val="22"/>
        </w:rPr>
      </w:pPr>
    </w:p>
    <w:p w:rsidR="00696D31" w:rsidRDefault="00696D31" w:rsidP="00696D31">
      <w:pPr>
        <w:tabs>
          <w:tab w:val="left" w:pos="-720"/>
          <w:tab w:val="left" w:pos="0"/>
        </w:tabs>
        <w:suppressAutoHyphens/>
        <w:ind w:left="720" w:hanging="720"/>
        <w:rPr>
          <w:noProof/>
          <w:spacing w:val="-2"/>
          <w:sz w:val="22"/>
        </w:rPr>
      </w:pPr>
    </w:p>
    <w:p w:rsidR="00696D31" w:rsidRDefault="00696D31" w:rsidP="00696D31">
      <w:pPr>
        <w:tabs>
          <w:tab w:val="left" w:pos="-720"/>
          <w:tab w:val="left" w:pos="0"/>
        </w:tabs>
        <w:suppressAutoHyphens/>
        <w:ind w:left="720" w:hanging="720"/>
        <w:rPr>
          <w:noProof/>
          <w:spacing w:val="-2"/>
          <w:sz w:val="22"/>
        </w:rPr>
      </w:pPr>
    </w:p>
    <w:p w:rsidR="00696D31" w:rsidRDefault="00696D31" w:rsidP="00696D31">
      <w:pPr>
        <w:tabs>
          <w:tab w:val="left" w:pos="-720"/>
          <w:tab w:val="left" w:pos="0"/>
        </w:tabs>
        <w:suppressAutoHyphens/>
        <w:ind w:left="720" w:hanging="720"/>
        <w:rPr>
          <w:noProof/>
          <w:spacing w:val="-2"/>
          <w:sz w:val="22"/>
        </w:rPr>
      </w:pPr>
    </w:p>
    <w:p w:rsidR="00696D31" w:rsidRPr="00696D31" w:rsidRDefault="00696D31" w:rsidP="00696D31">
      <w:pPr>
        <w:tabs>
          <w:tab w:val="left" w:pos="-720"/>
          <w:tab w:val="left" w:pos="0"/>
        </w:tabs>
        <w:suppressAutoHyphens/>
        <w:ind w:left="720" w:hanging="720"/>
        <w:rPr>
          <w:noProof/>
          <w:sz w:val="22"/>
        </w:rPr>
      </w:pPr>
      <w:r>
        <w:rPr>
          <w:noProof/>
        </w:rPr>
        <w:br w:type="page"/>
      </w:r>
    </w:p>
    <w:p w:rsidR="00696D31" w:rsidRDefault="00696D31" w:rsidP="00696D31">
      <w:pPr>
        <w:tabs>
          <w:tab w:val="center" w:pos="4513"/>
        </w:tabs>
        <w:suppressAutoHyphens/>
        <w:jc w:val="center"/>
        <w:rPr>
          <w:b/>
          <w:spacing w:val="-3"/>
          <w:sz w:val="22"/>
          <w:u w:val="single"/>
        </w:rPr>
      </w:pPr>
      <w:r>
        <w:rPr>
          <w:b/>
          <w:spacing w:val="-3"/>
          <w:sz w:val="22"/>
          <w:u w:val="single"/>
        </w:rPr>
        <w:t>APPENDIX A</w:t>
      </w:r>
    </w:p>
    <w:p w:rsidR="00696D31" w:rsidRPr="00DB67DB" w:rsidRDefault="001C4433" w:rsidP="00696D31">
      <w:pPr>
        <w:ind w:left="1440" w:right="1109"/>
        <w:jc w:val="center"/>
        <w:rPr>
          <w:rFonts w:cs="Arial"/>
          <w:b/>
          <w:bCs/>
          <w:u w:val="single"/>
        </w:rPr>
      </w:pPr>
      <w:r w:rsidRPr="00DB67DB">
        <w:rPr>
          <w:rFonts w:cs="Arial"/>
          <w:b/>
          <w:bCs/>
          <w:u w:val="single"/>
        </w:rPr>
        <w:fldChar w:fldCharType="begin"/>
      </w:r>
      <w:r w:rsidR="00696D31" w:rsidRPr="00DB67DB">
        <w:rPr>
          <w:rFonts w:cs="Arial"/>
          <w:b/>
          <w:bCs/>
          <w:u w:val="single"/>
        </w:rPr>
        <w:instrText xml:space="preserve"> MERGEFIELD "Fund_Name_Capitals" </w:instrText>
      </w:r>
      <w:r w:rsidRPr="00DB67DB">
        <w:rPr>
          <w:rFonts w:cs="Arial"/>
          <w:b/>
          <w:bCs/>
          <w:u w:val="single"/>
        </w:rPr>
        <w:fldChar w:fldCharType="separate"/>
      </w:r>
      <w:r w:rsidR="00696D31" w:rsidRPr="00DE66EF">
        <w:rPr>
          <w:rFonts w:cs="Arial"/>
          <w:b/>
          <w:bCs/>
          <w:noProof/>
          <w:u w:val="single"/>
        </w:rPr>
        <w:t>CRAIG ROSS SUPERANNUATION FUND</w:t>
      </w:r>
      <w:r w:rsidRPr="00DB67DB">
        <w:rPr>
          <w:rFonts w:cs="Arial"/>
          <w:b/>
          <w:bCs/>
          <w:u w:val="single"/>
        </w:rPr>
        <w:fldChar w:fldCharType="end"/>
      </w:r>
    </w:p>
    <w:p w:rsidR="00696D31" w:rsidRDefault="00696D31" w:rsidP="00696D31">
      <w:pPr>
        <w:tabs>
          <w:tab w:val="left" w:pos="-1440"/>
          <w:tab w:val="left" w:pos="-720"/>
          <w:tab w:val="left" w:pos="0"/>
          <w:tab w:val="left" w:pos="2160"/>
        </w:tabs>
        <w:suppressAutoHyphens/>
        <w:rPr>
          <w:spacing w:val="-3"/>
          <w:sz w:val="22"/>
        </w:rPr>
      </w:pP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spacing w:val="-2"/>
          <w:sz w:val="22"/>
        </w:rPr>
      </w:pP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spacing w:val="-2"/>
          <w:sz w:val="22"/>
        </w:rPr>
      </w:pP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b/>
          <w:spacing w:val="-3"/>
          <w:sz w:val="22"/>
          <w:u w:val="single"/>
        </w:rPr>
      </w:pPr>
      <w:r>
        <w:rPr>
          <w:b/>
          <w:spacing w:val="-3"/>
          <w:sz w:val="22"/>
          <w:u w:val="single"/>
        </w:rPr>
        <w:t>Investment Objective</w:t>
      </w: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rPr>
      </w:pP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rPr>
      </w:pPr>
      <w:r>
        <w:rPr>
          <w:spacing w:val="-3"/>
          <w:sz w:val="22"/>
        </w:rPr>
        <w:t xml:space="preserve">The investment objective is to achieve a return of cash plus </w:t>
      </w:r>
      <w:r>
        <w:rPr>
          <w:noProof/>
          <w:spacing w:val="-3"/>
          <w:sz w:val="22"/>
        </w:rPr>
        <w:t>4</w:t>
      </w:r>
      <w:r>
        <w:rPr>
          <w:spacing w:val="-3"/>
          <w:sz w:val="22"/>
        </w:rPr>
        <w:t>% per annum.</w:t>
      </w: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rPr>
      </w:pP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rPr>
      </w:pP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rPr>
      </w:pP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b/>
          <w:spacing w:val="-3"/>
          <w:sz w:val="22"/>
          <w:u w:val="single"/>
        </w:rPr>
      </w:pPr>
      <w:r>
        <w:rPr>
          <w:b/>
          <w:spacing w:val="-3"/>
          <w:sz w:val="22"/>
          <w:u w:val="single"/>
        </w:rPr>
        <w:t>Implementation of Investment Strategy</w:t>
      </w: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rPr>
      </w:pP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rPr>
      </w:pPr>
      <w:r>
        <w:rPr>
          <w:noProof/>
          <w:sz w:val="22"/>
        </w:rPr>
        <w:t>The Trustees will implement the fund's investment strategy by investing in a mix of cash, fixed interest, Australian shares, Australian property, international shares and international property with the objective of achieving the overall asset allocation identified below.</w:t>
      </w: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rPr>
      </w:pP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b/>
          <w:spacing w:val="-3"/>
          <w:sz w:val="22"/>
        </w:rPr>
      </w:pP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b/>
          <w:spacing w:val="-3"/>
          <w:sz w:val="22"/>
        </w:rPr>
      </w:pP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b/>
          <w:spacing w:val="-3"/>
          <w:sz w:val="22"/>
          <w:u w:val="single"/>
        </w:rPr>
      </w:pPr>
      <w:r>
        <w:rPr>
          <w:b/>
          <w:spacing w:val="-3"/>
          <w:sz w:val="22"/>
          <w:u w:val="single"/>
        </w:rPr>
        <w:t>Target Asset Allocation</w:t>
      </w: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b/>
          <w:spacing w:val="-3"/>
          <w:sz w:val="22"/>
        </w:rPr>
      </w:pP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b/>
          <w:spacing w:val="-3"/>
          <w:sz w:val="22"/>
        </w:rPr>
      </w:pPr>
    </w:p>
    <w:tbl>
      <w:tblPr>
        <w:tblW w:w="9360" w:type="dxa"/>
        <w:tblInd w:w="108" w:type="dxa"/>
        <w:tblLayout w:type="fixed"/>
        <w:tblLook w:val="0000"/>
      </w:tblPr>
      <w:tblGrid>
        <w:gridCol w:w="5220"/>
        <w:gridCol w:w="4140"/>
      </w:tblGrid>
      <w:tr w:rsidR="00696D31" w:rsidTr="00696D31">
        <w:tc>
          <w:tcPr>
            <w:tcW w:w="522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rPr>
                <w:b/>
                <w:spacing w:val="-3"/>
                <w:sz w:val="22"/>
                <w:szCs w:val="22"/>
              </w:rPr>
            </w:pPr>
          </w:p>
        </w:tc>
        <w:tc>
          <w:tcPr>
            <w:tcW w:w="414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jc w:val="center"/>
              <w:rPr>
                <w:b/>
                <w:spacing w:val="-3"/>
                <w:sz w:val="22"/>
                <w:szCs w:val="22"/>
              </w:rPr>
            </w:pPr>
          </w:p>
        </w:tc>
      </w:tr>
      <w:tr w:rsidR="00696D31" w:rsidTr="00696D31">
        <w:tc>
          <w:tcPr>
            <w:tcW w:w="522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szCs w:val="22"/>
              </w:rPr>
            </w:pPr>
          </w:p>
        </w:tc>
        <w:tc>
          <w:tcPr>
            <w:tcW w:w="414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jc w:val="center"/>
              <w:rPr>
                <w:spacing w:val="-3"/>
                <w:sz w:val="22"/>
                <w:szCs w:val="22"/>
              </w:rPr>
            </w:pPr>
            <w:r w:rsidRPr="00DB67DB">
              <w:rPr>
                <w:spacing w:val="-3"/>
                <w:sz w:val="22"/>
                <w:szCs w:val="22"/>
              </w:rPr>
              <w:t>%</w:t>
            </w:r>
          </w:p>
        </w:tc>
      </w:tr>
      <w:tr w:rsidR="00696D31" w:rsidTr="00696D31">
        <w:tc>
          <w:tcPr>
            <w:tcW w:w="522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szCs w:val="22"/>
              </w:rPr>
            </w:pPr>
            <w:r w:rsidRPr="00DB67DB">
              <w:rPr>
                <w:spacing w:val="-3"/>
                <w:sz w:val="22"/>
                <w:szCs w:val="22"/>
              </w:rPr>
              <w:t>Australian Shares</w:t>
            </w:r>
          </w:p>
        </w:tc>
        <w:tc>
          <w:tcPr>
            <w:tcW w:w="414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jc w:val="center"/>
              <w:rPr>
                <w:spacing w:val="-3"/>
                <w:sz w:val="22"/>
                <w:szCs w:val="22"/>
              </w:rPr>
            </w:pPr>
            <w:r>
              <w:rPr>
                <w:noProof/>
                <w:spacing w:val="-3"/>
                <w:sz w:val="22"/>
                <w:szCs w:val="22"/>
              </w:rPr>
              <w:t>50 - 80</w:t>
            </w:r>
          </w:p>
        </w:tc>
      </w:tr>
      <w:tr w:rsidR="00696D31" w:rsidTr="00696D31">
        <w:tc>
          <w:tcPr>
            <w:tcW w:w="522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szCs w:val="22"/>
              </w:rPr>
            </w:pPr>
          </w:p>
        </w:tc>
        <w:tc>
          <w:tcPr>
            <w:tcW w:w="414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jc w:val="center"/>
              <w:rPr>
                <w:spacing w:val="-3"/>
                <w:sz w:val="22"/>
                <w:szCs w:val="22"/>
              </w:rPr>
            </w:pPr>
          </w:p>
        </w:tc>
      </w:tr>
      <w:tr w:rsidR="00696D31" w:rsidTr="00696D31">
        <w:tc>
          <w:tcPr>
            <w:tcW w:w="522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szCs w:val="22"/>
              </w:rPr>
            </w:pPr>
            <w:r w:rsidRPr="00DB67DB">
              <w:rPr>
                <w:spacing w:val="-3"/>
                <w:sz w:val="22"/>
                <w:szCs w:val="22"/>
              </w:rPr>
              <w:t>International Shares</w:t>
            </w:r>
          </w:p>
        </w:tc>
        <w:tc>
          <w:tcPr>
            <w:tcW w:w="414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jc w:val="center"/>
              <w:rPr>
                <w:spacing w:val="-3"/>
                <w:sz w:val="22"/>
                <w:szCs w:val="22"/>
              </w:rPr>
            </w:pPr>
            <w:r>
              <w:rPr>
                <w:noProof/>
                <w:spacing w:val="-3"/>
                <w:sz w:val="22"/>
                <w:szCs w:val="22"/>
              </w:rPr>
              <w:t>0</w:t>
            </w:r>
            <w:r w:rsidRPr="00DB67DB">
              <w:rPr>
                <w:noProof/>
                <w:spacing w:val="-3"/>
                <w:sz w:val="22"/>
                <w:szCs w:val="22"/>
              </w:rPr>
              <w:t xml:space="preserve"> - 20</w:t>
            </w:r>
          </w:p>
        </w:tc>
      </w:tr>
      <w:tr w:rsidR="00696D31" w:rsidTr="00696D31">
        <w:tc>
          <w:tcPr>
            <w:tcW w:w="522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szCs w:val="22"/>
              </w:rPr>
            </w:pPr>
          </w:p>
        </w:tc>
        <w:tc>
          <w:tcPr>
            <w:tcW w:w="414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jc w:val="center"/>
              <w:rPr>
                <w:spacing w:val="-3"/>
                <w:sz w:val="22"/>
                <w:szCs w:val="22"/>
              </w:rPr>
            </w:pPr>
          </w:p>
        </w:tc>
      </w:tr>
      <w:tr w:rsidR="00696D31" w:rsidTr="00696D31">
        <w:tc>
          <w:tcPr>
            <w:tcW w:w="522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szCs w:val="22"/>
              </w:rPr>
            </w:pPr>
            <w:r w:rsidRPr="00DB67DB">
              <w:rPr>
                <w:spacing w:val="-3"/>
                <w:sz w:val="22"/>
                <w:szCs w:val="22"/>
              </w:rPr>
              <w:t>Property</w:t>
            </w:r>
          </w:p>
        </w:tc>
        <w:tc>
          <w:tcPr>
            <w:tcW w:w="414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jc w:val="center"/>
              <w:rPr>
                <w:spacing w:val="-3"/>
                <w:sz w:val="22"/>
                <w:szCs w:val="22"/>
              </w:rPr>
            </w:pPr>
            <w:r>
              <w:rPr>
                <w:noProof/>
                <w:spacing w:val="-3"/>
                <w:sz w:val="22"/>
                <w:szCs w:val="22"/>
              </w:rPr>
              <w:t>0 - 10</w:t>
            </w:r>
          </w:p>
        </w:tc>
      </w:tr>
      <w:tr w:rsidR="00696D31" w:rsidTr="00696D31">
        <w:tc>
          <w:tcPr>
            <w:tcW w:w="522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szCs w:val="22"/>
              </w:rPr>
            </w:pPr>
          </w:p>
        </w:tc>
        <w:tc>
          <w:tcPr>
            <w:tcW w:w="414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jc w:val="center"/>
              <w:rPr>
                <w:spacing w:val="-3"/>
                <w:sz w:val="22"/>
                <w:szCs w:val="22"/>
              </w:rPr>
            </w:pPr>
          </w:p>
        </w:tc>
      </w:tr>
      <w:tr w:rsidR="00696D31" w:rsidTr="00696D31">
        <w:tc>
          <w:tcPr>
            <w:tcW w:w="522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szCs w:val="22"/>
              </w:rPr>
            </w:pPr>
            <w:r w:rsidRPr="00DB67DB">
              <w:rPr>
                <w:spacing w:val="-3"/>
                <w:sz w:val="22"/>
                <w:szCs w:val="22"/>
              </w:rPr>
              <w:t>Fixed Interest</w:t>
            </w:r>
          </w:p>
        </w:tc>
        <w:tc>
          <w:tcPr>
            <w:tcW w:w="414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jc w:val="center"/>
              <w:rPr>
                <w:spacing w:val="-3"/>
                <w:sz w:val="22"/>
                <w:szCs w:val="22"/>
              </w:rPr>
            </w:pPr>
            <w:r>
              <w:rPr>
                <w:noProof/>
                <w:spacing w:val="-3"/>
                <w:sz w:val="22"/>
                <w:szCs w:val="22"/>
              </w:rPr>
              <w:t>0 - 20</w:t>
            </w:r>
          </w:p>
        </w:tc>
      </w:tr>
      <w:tr w:rsidR="00696D31" w:rsidTr="00696D31">
        <w:tc>
          <w:tcPr>
            <w:tcW w:w="522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szCs w:val="22"/>
              </w:rPr>
            </w:pPr>
          </w:p>
        </w:tc>
        <w:tc>
          <w:tcPr>
            <w:tcW w:w="414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jc w:val="center"/>
              <w:rPr>
                <w:spacing w:val="-3"/>
                <w:sz w:val="22"/>
                <w:szCs w:val="22"/>
              </w:rPr>
            </w:pPr>
          </w:p>
        </w:tc>
      </w:tr>
      <w:tr w:rsidR="00696D31" w:rsidTr="00696D31">
        <w:tc>
          <w:tcPr>
            <w:tcW w:w="522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rPr>
                <w:spacing w:val="-3"/>
                <w:sz w:val="22"/>
                <w:szCs w:val="22"/>
              </w:rPr>
            </w:pPr>
            <w:r w:rsidRPr="00DB67DB">
              <w:rPr>
                <w:spacing w:val="-3"/>
                <w:sz w:val="22"/>
                <w:szCs w:val="22"/>
              </w:rPr>
              <w:t>Cash</w:t>
            </w:r>
          </w:p>
        </w:tc>
        <w:tc>
          <w:tcPr>
            <w:tcW w:w="4140" w:type="dxa"/>
          </w:tcPr>
          <w:p w:rsidR="00696D31" w:rsidRPr="000D6894" w:rsidRDefault="00696D31" w:rsidP="00696D31">
            <w:pPr>
              <w:tabs>
                <w:tab w:val="left" w:pos="-1440"/>
                <w:tab w:val="left" w:pos="-720"/>
                <w:tab w:val="left" w:pos="1418"/>
                <w:tab w:val="left" w:pos="2804"/>
                <w:tab w:val="left" w:pos="4086"/>
                <w:tab w:val="left" w:pos="5368"/>
                <w:tab w:val="left" w:pos="6480"/>
                <w:tab w:val="left" w:pos="7824"/>
              </w:tabs>
              <w:suppressAutoHyphens/>
              <w:jc w:val="center"/>
              <w:rPr>
                <w:spacing w:val="-3"/>
                <w:sz w:val="22"/>
                <w:szCs w:val="22"/>
              </w:rPr>
            </w:pPr>
            <w:r w:rsidRPr="00DB67DB">
              <w:rPr>
                <w:spacing w:val="-3"/>
                <w:sz w:val="22"/>
                <w:szCs w:val="22"/>
              </w:rPr>
              <w:t>Balance</w:t>
            </w:r>
          </w:p>
        </w:tc>
      </w:tr>
    </w:tbl>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b/>
          <w:spacing w:val="-3"/>
          <w:sz w:val="22"/>
        </w:rPr>
      </w:pP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spacing w:val="-2"/>
          <w:sz w:val="22"/>
        </w:rPr>
      </w:pPr>
    </w:p>
    <w:p w:rsidR="00696D31" w:rsidRDefault="00696D31" w:rsidP="00696D31">
      <w:pPr>
        <w:tabs>
          <w:tab w:val="left" w:pos="-1440"/>
          <w:tab w:val="left" w:pos="-720"/>
          <w:tab w:val="left" w:pos="1418"/>
          <w:tab w:val="left" w:pos="2804"/>
          <w:tab w:val="left" w:pos="4086"/>
          <w:tab w:val="left" w:pos="5368"/>
          <w:tab w:val="left" w:pos="6480"/>
          <w:tab w:val="left" w:pos="7824"/>
        </w:tabs>
        <w:suppressAutoHyphens/>
        <w:rPr>
          <w:b/>
          <w:spacing w:val="-3"/>
          <w:sz w:val="22"/>
        </w:rPr>
      </w:pPr>
    </w:p>
    <w:p w:rsidR="00696D31" w:rsidRPr="00D778D6" w:rsidRDefault="00696D31" w:rsidP="00696D31">
      <w:pPr>
        <w:rPr>
          <w:rFonts w:cs="Arial"/>
          <w:sz w:val="20"/>
          <w:szCs w:val="20"/>
        </w:rPr>
      </w:pPr>
    </w:p>
    <w:p w:rsidR="00696D31" w:rsidRPr="00D778D6" w:rsidRDefault="00696D31" w:rsidP="00696D31">
      <w:pPr>
        <w:rPr>
          <w:rFonts w:cs="Arial"/>
          <w:sz w:val="20"/>
          <w:szCs w:val="20"/>
        </w:rPr>
      </w:pPr>
    </w:p>
    <w:p w:rsidR="00696D31" w:rsidRPr="00D778D6" w:rsidRDefault="00696D31" w:rsidP="00696D31">
      <w:pPr>
        <w:rPr>
          <w:rFonts w:cs="Arial"/>
          <w:sz w:val="20"/>
          <w:szCs w:val="20"/>
        </w:rPr>
      </w:pPr>
    </w:p>
    <w:p w:rsidR="00696D31" w:rsidRPr="00D778D6" w:rsidRDefault="00696D31" w:rsidP="00696D31">
      <w:pPr>
        <w:rPr>
          <w:rFonts w:cs="Arial"/>
          <w:sz w:val="20"/>
          <w:szCs w:val="20"/>
        </w:rPr>
      </w:pPr>
    </w:p>
    <w:p w:rsidR="00696D31" w:rsidRDefault="00696D31" w:rsidP="00696D31"/>
    <w:p w:rsidR="00696D31" w:rsidRDefault="00696D31"/>
    <w:sectPr w:rsidR="00696D31" w:rsidSect="00696D31">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0463E"/>
    <w:multiLevelType w:val="hybridMultilevel"/>
    <w:tmpl w:val="22D0CC52"/>
    <w:lvl w:ilvl="0" w:tplc="29249DFA">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AD61CD4"/>
    <w:multiLevelType w:val="hybridMultilevel"/>
    <w:tmpl w:val="4524FE28"/>
    <w:lvl w:ilvl="0" w:tplc="29249DFA">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defaultTabStop w:val="720"/>
  <w:characterSpacingControl w:val="doNotCompress"/>
  <w:compat/>
  <w:rsids>
    <w:rsidRoot w:val="00696D31"/>
    <w:rsid w:val="000D6894"/>
    <w:rsid w:val="001C4433"/>
    <w:rsid w:val="00363DD0"/>
    <w:rsid w:val="005C70B5"/>
    <w:rsid w:val="00696D31"/>
    <w:rsid w:val="00715EE3"/>
    <w:rsid w:val="00801B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D31"/>
    <w:pPr>
      <w:jc w:val="both"/>
    </w:pPr>
    <w:rPr>
      <w:rFonts w:ascii="Arial" w:eastAsia="Times New Roman" w:hAnsi="Arial"/>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unhideWhenUsed/>
    <w:rsid w:val="00696D31"/>
    <w:pPr>
      <w:spacing w:after="120"/>
      <w:ind w:left="283"/>
    </w:pPr>
  </w:style>
  <w:style w:type="character" w:customStyle="1" w:styleId="BodyTextIndentChar">
    <w:name w:val="Body Text Indent Char"/>
    <w:basedOn w:val="DefaultParagraphFont"/>
    <w:link w:val="BodyTextIndent"/>
    <w:uiPriority w:val="99"/>
    <w:semiHidden/>
    <w:rsid w:val="00696D31"/>
    <w:rPr>
      <w:rFonts w:ascii="Arial" w:eastAsia="Times New Roman" w:hAnsi="Arial" w:cs="Times New Roman"/>
      <w:sz w:val="24"/>
      <w:szCs w:val="24"/>
      <w:lang w:val="en-AU"/>
    </w:rPr>
  </w:style>
  <w:style w:type="paragraph" w:styleId="ListParagraph">
    <w:name w:val="List Paragraph"/>
    <w:basedOn w:val="Normal"/>
    <w:uiPriority w:val="34"/>
    <w:qFormat/>
    <w:rsid w:val="00696D31"/>
    <w:pPr>
      <w:ind w:left="720"/>
      <w:contextualSpacing/>
    </w:pPr>
  </w:style>
  <w:style w:type="paragraph" w:styleId="BalloonText">
    <w:name w:val="Balloon Text"/>
    <w:basedOn w:val="Normal"/>
    <w:link w:val="BalloonTextChar"/>
    <w:uiPriority w:val="99"/>
    <w:semiHidden/>
    <w:unhideWhenUsed/>
    <w:rsid w:val="00696D31"/>
    <w:rPr>
      <w:rFonts w:ascii="Tahoma" w:hAnsi="Tahoma" w:cs="Tahoma"/>
      <w:sz w:val="16"/>
      <w:szCs w:val="16"/>
    </w:rPr>
  </w:style>
  <w:style w:type="character" w:customStyle="1" w:styleId="BalloonTextChar">
    <w:name w:val="Balloon Text Char"/>
    <w:basedOn w:val="DefaultParagraphFont"/>
    <w:link w:val="BalloonText"/>
    <w:uiPriority w:val="99"/>
    <w:semiHidden/>
    <w:rsid w:val="00696D31"/>
    <w:rPr>
      <w:rFonts w:ascii="Tahoma" w:eastAsia="Times New Roman" w:hAnsi="Tahoma" w:cs="Tahoma"/>
      <w:sz w:val="16"/>
      <w:szCs w:val="16"/>
      <w:lang w:val="en-AU"/>
    </w:rPr>
  </w:style>
</w:styles>
</file>

<file path=word/webSettings.xml><?xml version="1.0" encoding="utf-8"?>
<w:webSettings xmlns:r="http://schemas.openxmlformats.org/officeDocument/2006/relationships" xmlns:w="http://schemas.openxmlformats.org/wordprocessingml/2006/main">
  <w:divs>
    <w:div w:id="131113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SERVER09\HANDISOFT\HSoft\Doc\HandiMerg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5947268ED8DE4E8C3C0C60AC0BDC52" ma:contentTypeVersion="15" ma:contentTypeDescription="Create a new document." ma:contentTypeScope="" ma:versionID="1502f8eb40ac21d2bb52c8e8317d8d71">
  <xsd:schema xmlns:xsd="http://www.w3.org/2001/XMLSchema" xmlns:xs="http://www.w3.org/2001/XMLSchema" xmlns:p="http://schemas.microsoft.com/office/2006/metadata/properties" xmlns:ns2="171baf46-e54f-4960-9045-6796342ce211" xmlns:ns3="929daec0-3f85-4f7a-9798-63894498ffdd" targetNamespace="http://schemas.microsoft.com/office/2006/metadata/properties" ma:root="true" ma:fieldsID="1a02e04d2ccf5e55204be570b98f0160" ns2:_="" ns3:_="">
    <xsd:import namespace="171baf46-e54f-4960-9045-6796342ce211"/>
    <xsd:import namespace="929daec0-3f85-4f7a-9798-63894498ff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baf46-e54f-4960-9045-6796342ce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7b60950-52b2-48e1-8500-f9c3f8bf5d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29daec0-3f85-4f7a-9798-63894498ffd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7b43c88-df1a-4660-93c9-ad59f2a0c450}" ma:internalName="TaxCatchAll" ma:showField="CatchAllData" ma:web="929daec0-3f85-4f7a-9798-63894498ff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29daec0-3f85-4f7a-9798-63894498ffdd" xsi:nil="true"/>
    <lcf76f155ced4ddcb4097134ff3c332f xmlns="171baf46-e54f-4960-9045-6796342ce2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DC20C02-1874-4BC1-B86A-3DD101276A2A}"/>
</file>

<file path=customXml/itemProps2.xml><?xml version="1.0" encoding="utf-8"?>
<ds:datastoreItem xmlns:ds="http://schemas.openxmlformats.org/officeDocument/2006/customXml" ds:itemID="{01DAD3E7-8F7F-40DD-A960-2BA8AAFE12F8}"/>
</file>

<file path=customXml/itemProps3.xml><?xml version="1.0" encoding="utf-8"?>
<ds:datastoreItem xmlns:ds="http://schemas.openxmlformats.org/officeDocument/2006/customXml" ds:itemID="{7B8DA0F8-61E9-4E2C-8251-0D230417EDB6}"/>
</file>

<file path=docProps/app.xml><?xml version="1.0" encoding="utf-8"?>
<Properties xmlns="http://schemas.openxmlformats.org/officeDocument/2006/extended-properties" xmlns:vt="http://schemas.openxmlformats.org/officeDocument/2006/docPropsVTypes">
  <Template>HandiMerge</Template>
  <TotalTime>1</TotalTime>
  <Pages>4</Pages>
  <Words>826</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Leader Group Whitsunday</Company>
  <LinksUpToDate>false</LinksUpToDate>
  <CharactersWithSpaces>5529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kylad</dc:creator>
  <cp:keywords/>
  <dc:description/>
  <cp:lastModifiedBy>kylad</cp:lastModifiedBy>
  <cp:revision>2</cp:revision>
  <cp:lastPrinted>2009-06-23T00:52:00Z</cp:lastPrinted>
  <dcterms:created xsi:type="dcterms:W3CDTF">2009-06-23T00:59:00Z</dcterms:created>
  <dcterms:modified xsi:type="dcterms:W3CDTF">2009-06-23T00:59:00Z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0x010100805947268ED8DE4E8C3C0C60AC0BDC52</vt:lpwstr>
  </property>
</Properties>
</file>