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981" w14:textId="77777777" w:rsidR="00F67185" w:rsidRDefault="00F67185" w:rsidP="001B0C5D">
      <w:pPr>
        <w:pStyle w:val="Heading2"/>
        <w:rPr>
          <w:sz w:val="36"/>
          <w:szCs w:val="36"/>
        </w:rPr>
      </w:pPr>
      <w:r w:rsidRPr="004E4A45">
        <w:rPr>
          <w:sz w:val="36"/>
          <w:szCs w:val="36"/>
        </w:rPr>
        <w:t>Khan Family Superannuation Fund</w:t>
      </w:r>
    </w:p>
    <w:p w14:paraId="5D1B77F9" w14:textId="77777777" w:rsidR="001B0C5D" w:rsidRPr="001B0C5D" w:rsidRDefault="001B0C5D" w:rsidP="001B0C5D">
      <w:pPr>
        <w:jc w:val="center"/>
      </w:pPr>
      <w:r w:rsidRPr="001B0C5D">
        <w:t>21a Lynwood Avenue</w:t>
      </w:r>
    </w:p>
    <w:p w14:paraId="01D66AB2" w14:textId="77777777" w:rsidR="001B0C5D" w:rsidRPr="001B0C5D" w:rsidRDefault="001B0C5D" w:rsidP="001B0C5D">
      <w:pPr>
        <w:jc w:val="center"/>
      </w:pPr>
      <w:r w:rsidRPr="001B0C5D">
        <w:rPr>
          <w:rFonts w:ascii="Calibri" w:hAnsi="Calibri"/>
        </w:rPr>
        <w:t>Killara NSW 2071</w:t>
      </w:r>
    </w:p>
    <w:p w14:paraId="19C7DCF9" w14:textId="77777777" w:rsidR="001B0C5D" w:rsidRDefault="001B0C5D" w:rsidP="00DF478C">
      <w:pPr>
        <w:pStyle w:val="Heading2"/>
        <w:rPr>
          <w:sz w:val="36"/>
          <w:szCs w:val="36"/>
        </w:rPr>
      </w:pPr>
    </w:p>
    <w:p w14:paraId="2374F9AE" w14:textId="77777777" w:rsidR="00DF478C" w:rsidRPr="00F67185" w:rsidRDefault="00F67185" w:rsidP="00DF478C">
      <w:pPr>
        <w:pStyle w:val="Heading2"/>
        <w:rPr>
          <w:sz w:val="36"/>
          <w:szCs w:val="36"/>
        </w:rPr>
      </w:pPr>
      <w:r w:rsidRPr="00F67185">
        <w:rPr>
          <w:sz w:val="36"/>
          <w:szCs w:val="36"/>
        </w:rPr>
        <w:t>Investment Strategy</w:t>
      </w:r>
    </w:p>
    <w:p w14:paraId="599B3BAF" w14:textId="77777777" w:rsidR="00DF478C" w:rsidRDefault="00DF478C" w:rsidP="00DF478C">
      <w:pPr>
        <w:jc w:val="both"/>
      </w:pPr>
    </w:p>
    <w:p w14:paraId="334DA09C" w14:textId="77777777" w:rsidR="00DF478C" w:rsidRDefault="00DF478C" w:rsidP="00DF478C">
      <w:pPr>
        <w:jc w:val="both"/>
      </w:pPr>
    </w:p>
    <w:p w14:paraId="44175A10" w14:textId="77777777" w:rsidR="00DF478C" w:rsidRDefault="00DF478C" w:rsidP="00DF478C">
      <w:pPr>
        <w:jc w:val="both"/>
      </w:pPr>
    </w:p>
    <w:p w14:paraId="4EE6E609" w14:textId="77777777" w:rsidR="00DF478C" w:rsidRDefault="00DF478C" w:rsidP="00DF478C">
      <w:pPr>
        <w:jc w:val="both"/>
      </w:pPr>
    </w:p>
    <w:p w14:paraId="0B13D964" w14:textId="77777777" w:rsidR="00DF478C" w:rsidRDefault="00DF478C" w:rsidP="00DF478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INVESTMENT</w:t>
      </w:r>
    </w:p>
    <w:p w14:paraId="138776F2" w14:textId="77777777" w:rsidR="00DF478C" w:rsidRDefault="00DF478C" w:rsidP="00DF478C">
      <w:pPr>
        <w:ind w:left="2160" w:hanging="2160"/>
        <w:jc w:val="both"/>
        <w:rPr>
          <w:sz w:val="24"/>
        </w:rPr>
      </w:pPr>
      <w:r>
        <w:rPr>
          <w:b/>
          <w:sz w:val="24"/>
          <w:u w:val="single"/>
        </w:rPr>
        <w:t>OBJECTIVES:</w:t>
      </w:r>
      <w:r>
        <w:rPr>
          <w:sz w:val="24"/>
        </w:rPr>
        <w:tab/>
        <w:t>To maximise returns and minimise the risk</w:t>
      </w:r>
      <w:r w:rsidR="004E4A45">
        <w:rPr>
          <w:sz w:val="24"/>
        </w:rPr>
        <w:t>s</w:t>
      </w:r>
      <w:r>
        <w:rPr>
          <w:sz w:val="24"/>
        </w:rPr>
        <w:t xml:space="preserve"> of investment</w:t>
      </w:r>
      <w:r w:rsidR="00F67185">
        <w:rPr>
          <w:sz w:val="24"/>
        </w:rPr>
        <w:t xml:space="preserve"> of the fund’s assets</w:t>
      </w:r>
      <w:r>
        <w:rPr>
          <w:sz w:val="24"/>
        </w:rPr>
        <w:t xml:space="preserve"> in managing and providing superannuation benefits to members and their </w:t>
      </w:r>
      <w:r w:rsidR="004E4A45">
        <w:rPr>
          <w:sz w:val="24"/>
        </w:rPr>
        <w:t>dependants in</w:t>
      </w:r>
      <w:r>
        <w:rPr>
          <w:sz w:val="24"/>
        </w:rPr>
        <w:t xml:space="preserve"> meet</w:t>
      </w:r>
      <w:r w:rsidR="004E4A45">
        <w:rPr>
          <w:sz w:val="24"/>
        </w:rPr>
        <w:t>ing</w:t>
      </w:r>
      <w:r>
        <w:rPr>
          <w:sz w:val="24"/>
        </w:rPr>
        <w:t xml:space="preserve"> their retirement needs.</w:t>
      </w:r>
      <w:r w:rsidR="00F67185">
        <w:rPr>
          <w:sz w:val="24"/>
        </w:rPr>
        <w:t xml:space="preserve"> </w:t>
      </w:r>
      <w:r w:rsidR="00B34B15">
        <w:rPr>
          <w:sz w:val="24"/>
        </w:rPr>
        <w:t xml:space="preserve"> To ensure all investments are consistent with </w:t>
      </w:r>
      <w:r w:rsidR="00F67185">
        <w:rPr>
          <w:sz w:val="24"/>
        </w:rPr>
        <w:t>the appropriate Superannuation Legislations</w:t>
      </w:r>
      <w:r w:rsidR="00B34B15">
        <w:rPr>
          <w:sz w:val="24"/>
        </w:rPr>
        <w:t xml:space="preserve"> and the fund’s investment strategy</w:t>
      </w:r>
      <w:r w:rsidR="00F67185">
        <w:rPr>
          <w:sz w:val="24"/>
        </w:rPr>
        <w:t>.</w:t>
      </w:r>
      <w:r>
        <w:rPr>
          <w:sz w:val="24"/>
        </w:rPr>
        <w:t xml:space="preserve">  </w:t>
      </w:r>
    </w:p>
    <w:p w14:paraId="4EEADC6F" w14:textId="77777777" w:rsidR="00DF478C" w:rsidRDefault="00DF478C" w:rsidP="00DF47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1762D8" w14:textId="77777777" w:rsidR="00DF478C" w:rsidRDefault="00DF478C" w:rsidP="00DF478C">
      <w:pPr>
        <w:jc w:val="both"/>
        <w:rPr>
          <w:sz w:val="24"/>
        </w:rPr>
      </w:pPr>
    </w:p>
    <w:p w14:paraId="5337CE1C" w14:textId="77777777" w:rsidR="00DF478C" w:rsidRDefault="00DF478C" w:rsidP="00DF47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EEAF99E" w14:textId="77777777" w:rsidR="00DF478C" w:rsidRDefault="00DF478C" w:rsidP="00DF478C">
      <w:pPr>
        <w:jc w:val="both"/>
        <w:rPr>
          <w:sz w:val="24"/>
        </w:rPr>
      </w:pPr>
    </w:p>
    <w:p w14:paraId="3776D606" w14:textId="77777777" w:rsidR="00DF478C" w:rsidRDefault="00DF478C" w:rsidP="00DF478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RISK, RETURN</w:t>
      </w:r>
    </w:p>
    <w:p w14:paraId="64FD83C9" w14:textId="77777777" w:rsidR="00DF478C" w:rsidRPr="00DF478C" w:rsidRDefault="00DF478C" w:rsidP="00DF478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AND DIVERSIFICATION </w:t>
      </w:r>
    </w:p>
    <w:p w14:paraId="6CB5AD87" w14:textId="77777777" w:rsidR="00DF478C" w:rsidRDefault="00DF478C" w:rsidP="00DF478C">
      <w:pPr>
        <w:ind w:left="2160"/>
        <w:jc w:val="both"/>
        <w:rPr>
          <w:sz w:val="24"/>
        </w:rPr>
      </w:pPr>
    </w:p>
    <w:p w14:paraId="10CF0962" w14:textId="5E3CCC5E" w:rsidR="00DF478C" w:rsidRDefault="00DF478C" w:rsidP="001C4884">
      <w:pPr>
        <w:ind w:left="2160"/>
        <w:jc w:val="both"/>
        <w:rPr>
          <w:sz w:val="24"/>
        </w:rPr>
      </w:pPr>
      <w:r>
        <w:rPr>
          <w:sz w:val="24"/>
        </w:rPr>
        <w:t xml:space="preserve">Each investment decision will be made with due </w:t>
      </w:r>
      <w:r w:rsidR="00F67185">
        <w:rPr>
          <w:sz w:val="24"/>
        </w:rPr>
        <w:t xml:space="preserve">regard to the associated, risk and </w:t>
      </w:r>
      <w:r>
        <w:rPr>
          <w:sz w:val="24"/>
        </w:rPr>
        <w:t>expected return.</w:t>
      </w:r>
      <w:r w:rsidR="004E4A45">
        <w:rPr>
          <w:sz w:val="24"/>
        </w:rPr>
        <w:t xml:space="preserve">  The </w:t>
      </w:r>
      <w:r w:rsidR="00991B7C">
        <w:rPr>
          <w:sz w:val="24"/>
        </w:rPr>
        <w:t>trustees</w:t>
      </w:r>
      <w:r w:rsidR="004E4A45">
        <w:rPr>
          <w:sz w:val="24"/>
        </w:rPr>
        <w:t xml:space="preserve"> will seek financial advice where necessary.  </w:t>
      </w:r>
      <w:r>
        <w:rPr>
          <w:sz w:val="24"/>
        </w:rPr>
        <w:t>To maximise overall returns</w:t>
      </w:r>
      <w:r w:rsidR="00F67185">
        <w:rPr>
          <w:sz w:val="24"/>
        </w:rPr>
        <w:t xml:space="preserve"> of the fund’s investments</w:t>
      </w:r>
      <w:r>
        <w:rPr>
          <w:sz w:val="24"/>
        </w:rPr>
        <w:t xml:space="preserve"> and minimise the exposure of risk from any particular investment, the </w:t>
      </w:r>
      <w:r w:rsidR="00F67185">
        <w:rPr>
          <w:sz w:val="24"/>
        </w:rPr>
        <w:t>fund will maintain a diversified portfolio.   The fund’s investment will include but not limited to Cash and cash equivalents, Equities (both Australian and International),</w:t>
      </w:r>
      <w:r w:rsidR="004E4A45">
        <w:rPr>
          <w:sz w:val="24"/>
        </w:rPr>
        <w:t xml:space="preserve"> Debt securities,</w:t>
      </w:r>
      <w:r w:rsidR="00F67185">
        <w:rPr>
          <w:sz w:val="24"/>
        </w:rPr>
        <w:t xml:space="preserve"> </w:t>
      </w:r>
      <w:r w:rsidR="004E4A45">
        <w:rPr>
          <w:sz w:val="24"/>
        </w:rPr>
        <w:t xml:space="preserve">direct and indirect </w:t>
      </w:r>
      <w:r w:rsidR="00F67185">
        <w:rPr>
          <w:sz w:val="24"/>
        </w:rPr>
        <w:t>property</w:t>
      </w:r>
      <w:r w:rsidR="004E4A45">
        <w:rPr>
          <w:sz w:val="24"/>
        </w:rPr>
        <w:t>,</w:t>
      </w:r>
      <w:r w:rsidR="00F67185">
        <w:rPr>
          <w:sz w:val="24"/>
        </w:rPr>
        <w:t xml:space="preserve"> trusts</w:t>
      </w:r>
      <w:r w:rsidR="004E4A45">
        <w:rPr>
          <w:sz w:val="24"/>
        </w:rPr>
        <w:t xml:space="preserve"> and</w:t>
      </w:r>
      <w:r w:rsidR="00F67185">
        <w:rPr>
          <w:sz w:val="24"/>
        </w:rPr>
        <w:t xml:space="preserve"> managed funds, </w:t>
      </w:r>
      <w:r w:rsidR="001C4884">
        <w:rPr>
          <w:sz w:val="24"/>
        </w:rPr>
        <w:t>Indicative asset classes are as set out below:</w:t>
      </w:r>
    </w:p>
    <w:p w14:paraId="71A7B975" w14:textId="77777777" w:rsidR="00DF478C" w:rsidRDefault="00DF478C" w:rsidP="00DF478C">
      <w:pPr>
        <w:ind w:left="1440" w:firstLine="720"/>
        <w:jc w:val="both"/>
        <w:rPr>
          <w:sz w:val="24"/>
        </w:rPr>
      </w:pPr>
    </w:p>
    <w:p w14:paraId="4A82BAEF" w14:textId="77777777" w:rsidR="00DF478C" w:rsidRDefault="00DF478C" w:rsidP="00DF478C">
      <w:pPr>
        <w:ind w:left="1440" w:firstLine="720"/>
        <w:jc w:val="both"/>
        <w:rPr>
          <w:sz w:val="24"/>
        </w:rPr>
      </w:pPr>
    </w:p>
    <w:p w14:paraId="144A3F5D" w14:textId="77777777" w:rsidR="00DF478C" w:rsidRDefault="00DF478C" w:rsidP="00DF478C">
      <w:pPr>
        <w:ind w:left="2160" w:firstLine="720"/>
        <w:jc w:val="both"/>
        <w:rPr>
          <w:sz w:val="24"/>
        </w:rPr>
      </w:pPr>
      <w:r>
        <w:rPr>
          <w:b/>
          <w:sz w:val="24"/>
          <w:u w:val="single"/>
        </w:rPr>
        <w:t>ASSET CLASS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E4A45" w:rsidRPr="004E4A45">
        <w:rPr>
          <w:b/>
          <w:sz w:val="24"/>
          <w:u w:val="single"/>
        </w:rPr>
        <w:t xml:space="preserve">INDICATIVE </w:t>
      </w:r>
      <w:r w:rsidRPr="004E4A45">
        <w:rPr>
          <w:b/>
          <w:sz w:val="24"/>
          <w:u w:val="single"/>
        </w:rPr>
        <w:t>RANGES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F6D92C5" w14:textId="77777777" w:rsidR="00DF478C" w:rsidRDefault="00DF478C" w:rsidP="00DF478C">
      <w:pPr>
        <w:ind w:left="1440" w:firstLine="720"/>
        <w:jc w:val="both"/>
        <w:rPr>
          <w:sz w:val="24"/>
        </w:rPr>
      </w:pPr>
      <w:r>
        <w:rPr>
          <w:sz w:val="24"/>
        </w:rPr>
        <w:tab/>
      </w:r>
    </w:p>
    <w:p w14:paraId="29A4946A" w14:textId="089DC83B" w:rsidR="00DF478C" w:rsidRDefault="00DF478C" w:rsidP="00DF478C">
      <w:pPr>
        <w:pStyle w:val="Heading5"/>
        <w:ind w:left="2160" w:firstLine="720"/>
      </w:pPr>
      <w:r>
        <w:t>Cash &amp; Money Market</w:t>
      </w:r>
      <w:r>
        <w:tab/>
      </w:r>
      <w:r>
        <w:tab/>
      </w:r>
      <w:r w:rsidR="00D05CD1">
        <w:t>0.01</w:t>
      </w:r>
      <w:r>
        <w:t xml:space="preserve">% to </w:t>
      </w:r>
      <w:r w:rsidR="00D05CD1">
        <w:t>20</w:t>
      </w:r>
      <w:r>
        <w:t>%</w:t>
      </w:r>
      <w:r>
        <w:tab/>
      </w:r>
      <w:r>
        <w:tab/>
      </w:r>
      <w:r>
        <w:tab/>
      </w:r>
      <w:r>
        <w:tab/>
        <w:t>Securities</w:t>
      </w:r>
    </w:p>
    <w:p w14:paraId="29DE824C" w14:textId="77777777" w:rsidR="00DF478C" w:rsidRDefault="00DF478C" w:rsidP="00DF478C">
      <w:pPr>
        <w:jc w:val="both"/>
        <w:rPr>
          <w:sz w:val="24"/>
        </w:rPr>
      </w:pPr>
    </w:p>
    <w:p w14:paraId="583964A4" w14:textId="341BBF1F" w:rsidR="00DF478C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>Australian Fixed Interest</w:t>
      </w:r>
      <w:r>
        <w:rPr>
          <w:sz w:val="24"/>
        </w:rPr>
        <w:tab/>
      </w:r>
      <w:r>
        <w:rPr>
          <w:sz w:val="24"/>
        </w:rPr>
        <w:tab/>
      </w:r>
      <w:r w:rsidR="004E4A45">
        <w:rPr>
          <w:sz w:val="24"/>
        </w:rPr>
        <w:t>0% to</w:t>
      </w:r>
      <w:r w:rsidR="00D05CD1">
        <w:rPr>
          <w:sz w:val="24"/>
        </w:rPr>
        <w:t>20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D6C8E9" w14:textId="700651A2" w:rsidR="00DF478C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>Australian Managed Funds</w:t>
      </w:r>
      <w:r>
        <w:rPr>
          <w:sz w:val="24"/>
        </w:rPr>
        <w:tab/>
      </w:r>
      <w:r w:rsidR="004E4A45">
        <w:rPr>
          <w:sz w:val="24"/>
        </w:rPr>
        <w:tab/>
        <w:t xml:space="preserve">0% to </w:t>
      </w:r>
      <w:r w:rsidR="00D05CD1">
        <w:rPr>
          <w:sz w:val="24"/>
        </w:rPr>
        <w:t>2</w:t>
      </w:r>
      <w:r w:rsidR="004E4A45">
        <w:rPr>
          <w:sz w:val="24"/>
        </w:rPr>
        <w:t>0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6E66A9C" w14:textId="57A573B7" w:rsidR="00DF478C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>Direct and Ind</w:t>
      </w:r>
      <w:r w:rsidR="004E4A45">
        <w:rPr>
          <w:sz w:val="24"/>
        </w:rPr>
        <w:t>irect Property</w:t>
      </w:r>
      <w:r w:rsidR="004E4A45">
        <w:rPr>
          <w:sz w:val="24"/>
        </w:rPr>
        <w:tab/>
      </w:r>
      <w:r w:rsidR="004E4A45">
        <w:rPr>
          <w:sz w:val="24"/>
        </w:rPr>
        <w:tab/>
      </w:r>
      <w:r w:rsidR="00D05CD1">
        <w:rPr>
          <w:sz w:val="24"/>
        </w:rPr>
        <w:t>80</w:t>
      </w:r>
      <w:r w:rsidR="004E4A45">
        <w:rPr>
          <w:sz w:val="24"/>
        </w:rPr>
        <w:t>% to 9</w:t>
      </w:r>
      <w:r w:rsidR="00D05CD1">
        <w:rPr>
          <w:sz w:val="24"/>
        </w:rPr>
        <w:t>9.99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094C5F5" w14:textId="6F1DA249" w:rsidR="00DF478C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>Austra</w:t>
      </w:r>
      <w:r w:rsidR="004E4A45">
        <w:rPr>
          <w:sz w:val="24"/>
        </w:rPr>
        <w:t>lian Shares</w:t>
      </w:r>
      <w:r w:rsidR="004E4A45">
        <w:rPr>
          <w:sz w:val="24"/>
        </w:rPr>
        <w:tab/>
      </w:r>
      <w:r w:rsidR="004E4A45">
        <w:rPr>
          <w:sz w:val="24"/>
        </w:rPr>
        <w:tab/>
      </w:r>
      <w:r w:rsidR="004E4A45">
        <w:rPr>
          <w:sz w:val="24"/>
        </w:rPr>
        <w:tab/>
        <w:t xml:space="preserve">0% to </w:t>
      </w:r>
      <w:r w:rsidR="00D05CD1">
        <w:rPr>
          <w:sz w:val="24"/>
        </w:rPr>
        <w:t>20</w:t>
      </w:r>
      <w:r>
        <w:rPr>
          <w:sz w:val="24"/>
        </w:rPr>
        <w:t>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67AEEF8" w14:textId="78CCC167" w:rsidR="003402F8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>International Shares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0% to </w:t>
      </w:r>
      <w:r w:rsidR="00D05CD1">
        <w:rPr>
          <w:sz w:val="24"/>
        </w:rPr>
        <w:t>2</w:t>
      </w:r>
      <w:r>
        <w:rPr>
          <w:sz w:val="24"/>
        </w:rPr>
        <w:t>0%</w:t>
      </w:r>
      <w:r>
        <w:rPr>
          <w:sz w:val="24"/>
        </w:rPr>
        <w:tab/>
      </w:r>
      <w:r>
        <w:rPr>
          <w:sz w:val="24"/>
        </w:rPr>
        <w:tab/>
      </w:r>
    </w:p>
    <w:p w14:paraId="252E64F4" w14:textId="77777777" w:rsidR="003402F8" w:rsidRDefault="003402F8" w:rsidP="003402F8">
      <w:pPr>
        <w:jc w:val="both"/>
        <w:rPr>
          <w:sz w:val="24"/>
        </w:rPr>
      </w:pPr>
    </w:p>
    <w:p w14:paraId="1F3A3E45" w14:textId="77777777" w:rsidR="00991B7C" w:rsidRDefault="00991B7C" w:rsidP="003402F8">
      <w:pPr>
        <w:ind w:left="2160"/>
        <w:jc w:val="both"/>
        <w:rPr>
          <w:sz w:val="24"/>
        </w:rPr>
      </w:pPr>
    </w:p>
    <w:p w14:paraId="25A7E8B8" w14:textId="77777777" w:rsidR="00991B7C" w:rsidRDefault="00991B7C" w:rsidP="003402F8">
      <w:pPr>
        <w:ind w:left="2160"/>
        <w:jc w:val="both"/>
        <w:rPr>
          <w:sz w:val="24"/>
        </w:rPr>
      </w:pPr>
    </w:p>
    <w:p w14:paraId="16ED3B68" w14:textId="77777777" w:rsidR="00991B7C" w:rsidRDefault="00991B7C" w:rsidP="003402F8">
      <w:pPr>
        <w:ind w:left="2160"/>
        <w:jc w:val="both"/>
        <w:rPr>
          <w:sz w:val="24"/>
        </w:rPr>
      </w:pPr>
    </w:p>
    <w:p w14:paraId="7FE3BBB4" w14:textId="260CBB8E" w:rsidR="00DF478C" w:rsidRDefault="003402F8" w:rsidP="003402F8">
      <w:pPr>
        <w:ind w:left="2160"/>
        <w:jc w:val="both"/>
        <w:rPr>
          <w:sz w:val="24"/>
        </w:rPr>
      </w:pPr>
      <w:r>
        <w:rPr>
          <w:sz w:val="24"/>
        </w:rPr>
        <w:t xml:space="preserve">Additionally the </w:t>
      </w:r>
      <w:r w:rsidR="00991B7C">
        <w:rPr>
          <w:sz w:val="24"/>
        </w:rPr>
        <w:t>trustee</w:t>
      </w:r>
      <w:r>
        <w:rPr>
          <w:sz w:val="24"/>
        </w:rPr>
        <w:t xml:space="preserve">s </w:t>
      </w:r>
      <w:r w:rsidR="00895D29">
        <w:rPr>
          <w:sz w:val="24"/>
        </w:rPr>
        <w:t xml:space="preserve">may </w:t>
      </w:r>
      <w:r>
        <w:rPr>
          <w:sz w:val="24"/>
        </w:rPr>
        <w:t>use derivatives where appropriate as a means of hedging investment risks and maximising investment return.</w:t>
      </w:r>
      <w:r w:rsidR="00A75021">
        <w:rPr>
          <w:sz w:val="24"/>
        </w:rPr>
        <w:t xml:space="preserve">  The </w:t>
      </w:r>
      <w:r w:rsidR="00991B7C">
        <w:rPr>
          <w:sz w:val="24"/>
        </w:rPr>
        <w:t>trustees</w:t>
      </w:r>
      <w:r w:rsidR="00A75021">
        <w:rPr>
          <w:sz w:val="24"/>
        </w:rPr>
        <w:t xml:space="preserve"> reserve the right to </w:t>
      </w:r>
      <w:r w:rsidR="00895D29">
        <w:rPr>
          <w:sz w:val="24"/>
        </w:rPr>
        <w:t xml:space="preserve">make </w:t>
      </w:r>
      <w:r w:rsidR="00A75021">
        <w:rPr>
          <w:sz w:val="24"/>
        </w:rPr>
        <w:t xml:space="preserve">any investment that is permitted under the superannuation rules, the fund’s trust deed and </w:t>
      </w:r>
      <w:r w:rsidR="009E0F5A">
        <w:rPr>
          <w:sz w:val="24"/>
        </w:rPr>
        <w:t>may amend this investment strategy to ensure such an investment is consistent with the investment strategy of the fund.</w:t>
      </w:r>
      <w:r w:rsidR="00DF478C">
        <w:rPr>
          <w:sz w:val="24"/>
        </w:rPr>
        <w:tab/>
      </w:r>
      <w:r w:rsidR="00DF478C">
        <w:rPr>
          <w:sz w:val="24"/>
        </w:rPr>
        <w:tab/>
      </w:r>
    </w:p>
    <w:p w14:paraId="5EA4EB24" w14:textId="77777777" w:rsidR="00DF478C" w:rsidRDefault="00DF478C" w:rsidP="00DF478C">
      <w:pPr>
        <w:ind w:left="2160" w:firstLine="720"/>
        <w:jc w:val="both"/>
        <w:rPr>
          <w:sz w:val="24"/>
        </w:rPr>
      </w:pPr>
      <w:r>
        <w:rPr>
          <w:sz w:val="24"/>
        </w:rPr>
        <w:tab/>
      </w:r>
    </w:p>
    <w:p w14:paraId="77DD9C91" w14:textId="77777777" w:rsidR="00DF478C" w:rsidRDefault="00DF478C" w:rsidP="00DF478C">
      <w:pPr>
        <w:jc w:val="both"/>
        <w:rPr>
          <w:sz w:val="24"/>
        </w:rPr>
      </w:pPr>
    </w:p>
    <w:p w14:paraId="0BCC5460" w14:textId="6D928B73" w:rsidR="001C4884" w:rsidRDefault="00DF478C" w:rsidP="001C4884">
      <w:pPr>
        <w:ind w:left="2160" w:hanging="2160"/>
        <w:jc w:val="both"/>
        <w:rPr>
          <w:sz w:val="24"/>
        </w:rPr>
      </w:pPr>
      <w:r>
        <w:rPr>
          <w:b/>
          <w:sz w:val="24"/>
          <w:u w:val="single"/>
        </w:rPr>
        <w:t>LIQUIDITY</w:t>
      </w:r>
      <w:r w:rsidR="001C4884" w:rsidRPr="001C4884">
        <w:rPr>
          <w:sz w:val="24"/>
        </w:rPr>
        <w:t xml:space="preserve"> </w:t>
      </w:r>
      <w:r w:rsidR="001C4884">
        <w:rPr>
          <w:sz w:val="24"/>
        </w:rPr>
        <w:tab/>
        <w:t>Each investment decision will be made with due regard to the</w:t>
      </w:r>
      <w:r w:rsidR="0062103D">
        <w:rPr>
          <w:sz w:val="24"/>
        </w:rPr>
        <w:t xml:space="preserve"> cash flow requirements</w:t>
      </w:r>
      <w:r w:rsidR="001C4884">
        <w:rPr>
          <w:sz w:val="24"/>
        </w:rPr>
        <w:t xml:space="preserve"> of the fund.</w:t>
      </w:r>
      <w:r w:rsidR="004E4A45">
        <w:rPr>
          <w:sz w:val="24"/>
        </w:rPr>
        <w:t xml:space="preserve">  </w:t>
      </w:r>
      <w:r w:rsidR="001C4884">
        <w:rPr>
          <w:sz w:val="24"/>
        </w:rPr>
        <w:t xml:space="preserve">The </w:t>
      </w:r>
      <w:r w:rsidR="00991B7C">
        <w:rPr>
          <w:sz w:val="24"/>
        </w:rPr>
        <w:t>trustees</w:t>
      </w:r>
      <w:r w:rsidR="001C4884">
        <w:rPr>
          <w:sz w:val="24"/>
        </w:rPr>
        <w:t xml:space="preserve"> will consider the liabilities</w:t>
      </w:r>
      <w:r w:rsidR="00B57BEC">
        <w:rPr>
          <w:sz w:val="24"/>
        </w:rPr>
        <w:t xml:space="preserve"> (current and prospective)</w:t>
      </w:r>
      <w:r w:rsidR="001C4884">
        <w:rPr>
          <w:sz w:val="24"/>
        </w:rPr>
        <w:t xml:space="preserve"> of the fund and ensure adequate cash is maintained by the fund to meet its liabilities as they fall due. </w:t>
      </w:r>
      <w:r w:rsidR="003402F8">
        <w:rPr>
          <w:sz w:val="24"/>
        </w:rPr>
        <w:t xml:space="preserve"> The fund’s liquidity needs will be considered at the time of each investment and also during the regular review of the fund’s portfolio and investment strategy.  The </w:t>
      </w:r>
      <w:r w:rsidR="00991B7C">
        <w:rPr>
          <w:sz w:val="24"/>
        </w:rPr>
        <w:t>trustees</w:t>
      </w:r>
      <w:r w:rsidR="003402F8">
        <w:rPr>
          <w:sz w:val="24"/>
        </w:rPr>
        <w:t xml:space="preserve"> may borrow money to finance the acquisition of investments as appropriate in accordance with the superannuation laws.</w:t>
      </w:r>
    </w:p>
    <w:p w14:paraId="38CD975B" w14:textId="77777777" w:rsidR="00DF478C" w:rsidRDefault="00DF478C" w:rsidP="00DF478C">
      <w:pPr>
        <w:jc w:val="both"/>
        <w:rPr>
          <w:b/>
          <w:sz w:val="24"/>
          <w:u w:val="single"/>
        </w:rPr>
      </w:pPr>
    </w:p>
    <w:p w14:paraId="4234458A" w14:textId="77777777" w:rsidR="00F67185" w:rsidRDefault="00F67185" w:rsidP="00DF478C">
      <w:pPr>
        <w:jc w:val="both"/>
        <w:rPr>
          <w:b/>
          <w:sz w:val="24"/>
          <w:u w:val="single"/>
        </w:rPr>
      </w:pPr>
    </w:p>
    <w:p w14:paraId="6A5CA3E9" w14:textId="77777777" w:rsidR="00DF478C" w:rsidRDefault="00DF478C" w:rsidP="00DF478C">
      <w:pPr>
        <w:jc w:val="both"/>
        <w:rPr>
          <w:b/>
          <w:sz w:val="24"/>
          <w:u w:val="single"/>
        </w:rPr>
      </w:pPr>
      <w:bookmarkStart w:id="0" w:name="_Hlk41068463"/>
      <w:r>
        <w:rPr>
          <w:b/>
          <w:sz w:val="24"/>
          <w:u w:val="single"/>
        </w:rPr>
        <w:t>INSURANCE</w:t>
      </w:r>
    </w:p>
    <w:p w14:paraId="7F09073E" w14:textId="62248726" w:rsidR="00DF478C" w:rsidRDefault="00DF478C" w:rsidP="00DF478C">
      <w:pPr>
        <w:ind w:left="2160" w:hanging="2160"/>
        <w:jc w:val="both"/>
        <w:rPr>
          <w:sz w:val="24"/>
        </w:rPr>
      </w:pPr>
      <w:r>
        <w:rPr>
          <w:b/>
          <w:sz w:val="24"/>
          <w:u w:val="single"/>
        </w:rPr>
        <w:t>COVER:</w:t>
      </w:r>
      <w:r w:rsidR="001C4884">
        <w:rPr>
          <w:sz w:val="24"/>
        </w:rPr>
        <w:tab/>
      </w:r>
      <w:r w:rsidR="00462A81">
        <w:rPr>
          <w:sz w:val="24"/>
        </w:rPr>
        <w:t xml:space="preserve">The </w:t>
      </w:r>
      <w:r w:rsidR="00991B7C">
        <w:rPr>
          <w:sz w:val="24"/>
        </w:rPr>
        <w:t>trustees</w:t>
      </w:r>
      <w:r w:rsidR="00462A81">
        <w:rPr>
          <w:sz w:val="24"/>
        </w:rPr>
        <w:t xml:space="preserve"> will assess the need of insurance for all members and will seek insurance </w:t>
      </w:r>
      <w:bookmarkEnd w:id="0"/>
      <w:r w:rsidR="00462A81">
        <w:rPr>
          <w:sz w:val="24"/>
        </w:rPr>
        <w:t xml:space="preserve">advice where necessary to ensure all members are adequately insured. </w:t>
      </w:r>
      <w:r w:rsidR="003151ED">
        <w:rPr>
          <w:sz w:val="24"/>
        </w:rPr>
        <w:t>I</w:t>
      </w:r>
      <w:r w:rsidR="00462A81">
        <w:rPr>
          <w:sz w:val="24"/>
        </w:rPr>
        <w:t>nsurance policies may be held by the fund or by members personally.</w:t>
      </w:r>
      <w:r>
        <w:rPr>
          <w:sz w:val="24"/>
        </w:rPr>
        <w:t xml:space="preserve"> </w:t>
      </w:r>
    </w:p>
    <w:p w14:paraId="2E61AB07" w14:textId="73EAE66F" w:rsidR="00D05CD1" w:rsidRDefault="00D05CD1" w:rsidP="00DF478C">
      <w:pPr>
        <w:ind w:left="2160" w:hanging="2160"/>
        <w:jc w:val="both"/>
        <w:rPr>
          <w:sz w:val="24"/>
        </w:rPr>
      </w:pPr>
    </w:p>
    <w:p w14:paraId="159727B0" w14:textId="62DA4C0C" w:rsidR="00D05CD1" w:rsidRDefault="00D05CD1" w:rsidP="00DF478C">
      <w:pPr>
        <w:ind w:left="2160" w:hanging="2160"/>
        <w:jc w:val="both"/>
        <w:rPr>
          <w:sz w:val="24"/>
        </w:rPr>
      </w:pPr>
    </w:p>
    <w:p w14:paraId="565CEFEC" w14:textId="7893B0AD" w:rsidR="00D05CD1" w:rsidRDefault="00D05CD1" w:rsidP="00D05CD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COMMERCIAL</w:t>
      </w:r>
    </w:p>
    <w:p w14:paraId="54EDD209" w14:textId="7E48AC01" w:rsidR="00D05CD1" w:rsidRDefault="00D05CD1" w:rsidP="00D05CD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INVESTMENT</w:t>
      </w:r>
    </w:p>
    <w:p w14:paraId="6BA462A4" w14:textId="56B2F11F" w:rsidR="00D05CD1" w:rsidRDefault="00D05CD1" w:rsidP="00D05CD1">
      <w:pPr>
        <w:ind w:left="2160" w:hanging="2160"/>
        <w:jc w:val="both"/>
        <w:rPr>
          <w:sz w:val="24"/>
        </w:rPr>
      </w:pPr>
      <w:r>
        <w:rPr>
          <w:b/>
          <w:sz w:val="24"/>
          <w:u w:val="single"/>
        </w:rPr>
        <w:t>PROPERTY:</w:t>
      </w:r>
      <w:r>
        <w:rPr>
          <w:sz w:val="24"/>
        </w:rPr>
        <w:tab/>
        <w:t xml:space="preserve">The trustees believe that the commercial property at 80-82 Appin Road, Appin NSW is a solid investment for the Superannuation Fund and will generate enough income to cover current and future pension payments for the members of the Fund. </w:t>
      </w:r>
    </w:p>
    <w:p w14:paraId="06D248A7" w14:textId="4C39E644" w:rsidR="00D05CD1" w:rsidRDefault="00D05CD1" w:rsidP="00DF478C">
      <w:pPr>
        <w:ind w:left="2160" w:hanging="2160"/>
        <w:jc w:val="both"/>
        <w:rPr>
          <w:sz w:val="24"/>
        </w:rPr>
      </w:pPr>
    </w:p>
    <w:p w14:paraId="64439000" w14:textId="0EF82CEA" w:rsidR="00D05CD1" w:rsidRDefault="00D05CD1" w:rsidP="00DF478C">
      <w:pPr>
        <w:ind w:left="2160" w:hanging="2160"/>
        <w:jc w:val="both"/>
        <w:rPr>
          <w:sz w:val="24"/>
        </w:rPr>
      </w:pPr>
    </w:p>
    <w:p w14:paraId="61DFC979" w14:textId="61411733" w:rsidR="00D05CD1" w:rsidRDefault="00D05CD1" w:rsidP="00DF478C">
      <w:pPr>
        <w:ind w:left="2160" w:hanging="2160"/>
        <w:jc w:val="both"/>
        <w:rPr>
          <w:sz w:val="24"/>
        </w:rPr>
      </w:pPr>
    </w:p>
    <w:p w14:paraId="1923DD1E" w14:textId="0FE6765B" w:rsidR="00D05CD1" w:rsidRDefault="00D05CD1" w:rsidP="00DF478C">
      <w:pPr>
        <w:ind w:left="2160" w:hanging="2160"/>
        <w:jc w:val="both"/>
        <w:rPr>
          <w:sz w:val="24"/>
        </w:rPr>
      </w:pPr>
    </w:p>
    <w:p w14:paraId="17574C37" w14:textId="0B139494" w:rsidR="00D05CD1" w:rsidRDefault="00D05CD1" w:rsidP="00DF478C">
      <w:pPr>
        <w:ind w:left="2160" w:hanging="2160"/>
        <w:jc w:val="both"/>
        <w:rPr>
          <w:sz w:val="24"/>
        </w:rPr>
      </w:pPr>
    </w:p>
    <w:p w14:paraId="0937A6E5" w14:textId="370A4A5A" w:rsidR="00D05CD1" w:rsidRDefault="00D05CD1" w:rsidP="00DF478C">
      <w:pPr>
        <w:ind w:left="2160" w:hanging="2160"/>
        <w:jc w:val="both"/>
        <w:rPr>
          <w:sz w:val="24"/>
        </w:rPr>
      </w:pPr>
    </w:p>
    <w:p w14:paraId="20D32A26" w14:textId="6004CA45" w:rsidR="00D05CD1" w:rsidRDefault="00D05CD1" w:rsidP="00DF478C">
      <w:pPr>
        <w:ind w:left="2160" w:hanging="2160"/>
        <w:jc w:val="both"/>
        <w:rPr>
          <w:sz w:val="24"/>
        </w:rPr>
      </w:pPr>
    </w:p>
    <w:p w14:paraId="32D0AA6F" w14:textId="0A273759" w:rsidR="00D05CD1" w:rsidRDefault="00D05CD1" w:rsidP="00DF478C">
      <w:pPr>
        <w:ind w:left="2160" w:hanging="2160"/>
        <w:jc w:val="both"/>
        <w:rPr>
          <w:sz w:val="24"/>
        </w:rPr>
      </w:pPr>
    </w:p>
    <w:p w14:paraId="1D830EB3" w14:textId="47D7B9CD" w:rsidR="00D05CD1" w:rsidRDefault="00D05CD1" w:rsidP="00DF478C">
      <w:pPr>
        <w:ind w:left="2160" w:hanging="2160"/>
        <w:jc w:val="both"/>
        <w:rPr>
          <w:sz w:val="24"/>
        </w:rPr>
      </w:pPr>
    </w:p>
    <w:p w14:paraId="39FFBFF8" w14:textId="685F35BE" w:rsidR="00D05CD1" w:rsidRDefault="00D05CD1" w:rsidP="00DF478C">
      <w:pPr>
        <w:ind w:left="2160" w:hanging="2160"/>
        <w:jc w:val="both"/>
        <w:rPr>
          <w:sz w:val="24"/>
        </w:rPr>
      </w:pPr>
    </w:p>
    <w:p w14:paraId="279D99EF" w14:textId="64272C7B" w:rsidR="00EC6F99" w:rsidRDefault="00EC6F99" w:rsidP="00DF478C">
      <w:pPr>
        <w:ind w:left="2160" w:hanging="2160"/>
        <w:jc w:val="both"/>
        <w:rPr>
          <w:sz w:val="24"/>
        </w:rPr>
      </w:pPr>
    </w:p>
    <w:p w14:paraId="4DE24F89" w14:textId="7E122756" w:rsidR="00EC6F99" w:rsidRDefault="00EC6F99" w:rsidP="00DF478C">
      <w:pPr>
        <w:ind w:left="2160" w:hanging="2160"/>
        <w:jc w:val="both"/>
        <w:rPr>
          <w:sz w:val="24"/>
        </w:rPr>
      </w:pPr>
    </w:p>
    <w:p w14:paraId="197C1604" w14:textId="48655006" w:rsidR="00EC6F99" w:rsidRDefault="00EC6F99" w:rsidP="00DF478C">
      <w:pPr>
        <w:ind w:left="2160" w:hanging="2160"/>
        <w:jc w:val="both"/>
        <w:rPr>
          <w:sz w:val="24"/>
        </w:rPr>
      </w:pPr>
    </w:p>
    <w:p w14:paraId="71BBD556" w14:textId="4DF4384E" w:rsidR="00EC6F99" w:rsidRDefault="00EC6F99" w:rsidP="00DF478C">
      <w:pPr>
        <w:ind w:left="2160" w:hanging="2160"/>
        <w:jc w:val="both"/>
        <w:rPr>
          <w:sz w:val="24"/>
        </w:rPr>
      </w:pPr>
    </w:p>
    <w:p w14:paraId="2D20F01D" w14:textId="63A851F7" w:rsidR="00EC6F99" w:rsidRDefault="00EC6F99" w:rsidP="00DF478C">
      <w:pPr>
        <w:ind w:left="2160" w:hanging="2160"/>
        <w:jc w:val="both"/>
        <w:rPr>
          <w:sz w:val="24"/>
        </w:rPr>
      </w:pPr>
    </w:p>
    <w:p w14:paraId="4B5D4ADE" w14:textId="550E1431" w:rsidR="00EC6F99" w:rsidRDefault="00EC6F99" w:rsidP="00DF478C">
      <w:pPr>
        <w:ind w:left="2160" w:hanging="2160"/>
        <w:jc w:val="both"/>
        <w:rPr>
          <w:sz w:val="24"/>
        </w:rPr>
      </w:pPr>
    </w:p>
    <w:p w14:paraId="18298B12" w14:textId="0CC90144" w:rsidR="00EC6F99" w:rsidRDefault="00EC6F99" w:rsidP="00DF478C">
      <w:pPr>
        <w:ind w:left="2160" w:hanging="2160"/>
        <w:jc w:val="both"/>
        <w:rPr>
          <w:sz w:val="24"/>
        </w:rPr>
      </w:pPr>
    </w:p>
    <w:p w14:paraId="16424B5F" w14:textId="77777777" w:rsidR="00EC6F99" w:rsidRDefault="00EC6F99" w:rsidP="00DF478C">
      <w:pPr>
        <w:ind w:left="2160" w:hanging="2160"/>
        <w:jc w:val="both"/>
        <w:rPr>
          <w:sz w:val="24"/>
        </w:rPr>
      </w:pPr>
    </w:p>
    <w:p w14:paraId="1867E16B" w14:textId="77777777" w:rsidR="00DF478C" w:rsidRDefault="00DF478C" w:rsidP="00DF478C">
      <w:pPr>
        <w:jc w:val="both"/>
        <w:rPr>
          <w:sz w:val="24"/>
        </w:rPr>
      </w:pPr>
    </w:p>
    <w:p w14:paraId="643F7E24" w14:textId="24E140B5" w:rsidR="00DF478C" w:rsidRDefault="00DF478C" w:rsidP="00DF478C">
      <w:pPr>
        <w:ind w:left="2160" w:hanging="2160"/>
        <w:jc w:val="both"/>
        <w:rPr>
          <w:sz w:val="24"/>
        </w:rPr>
      </w:pPr>
      <w:r>
        <w:rPr>
          <w:b/>
          <w:sz w:val="24"/>
          <w:u w:val="single"/>
        </w:rPr>
        <w:t>REVIEW:</w:t>
      </w:r>
      <w:r w:rsidR="001C4884">
        <w:rPr>
          <w:sz w:val="24"/>
        </w:rPr>
        <w:tab/>
      </w:r>
      <w:r>
        <w:rPr>
          <w:sz w:val="24"/>
        </w:rPr>
        <w:t>The</w:t>
      </w:r>
      <w:r w:rsidR="003151ED">
        <w:rPr>
          <w:sz w:val="24"/>
        </w:rPr>
        <w:t xml:space="preserve"> investment strategy will be reviewed regularly</w:t>
      </w:r>
      <w:r w:rsidR="001B0C5D">
        <w:rPr>
          <w:sz w:val="24"/>
        </w:rPr>
        <w:t xml:space="preserve"> and </w:t>
      </w:r>
      <w:r w:rsidR="003151ED">
        <w:rPr>
          <w:sz w:val="24"/>
        </w:rPr>
        <w:t xml:space="preserve">at least once a year at the end of financial year.  The investment strategy may be revised as appropriate where the </w:t>
      </w:r>
      <w:r w:rsidR="00991B7C">
        <w:rPr>
          <w:sz w:val="24"/>
        </w:rPr>
        <w:t>trustees</w:t>
      </w:r>
      <w:r w:rsidR="001B0C5D">
        <w:rPr>
          <w:sz w:val="24"/>
        </w:rPr>
        <w:t>’</w:t>
      </w:r>
      <w:r w:rsidR="003151ED">
        <w:rPr>
          <w:sz w:val="24"/>
        </w:rPr>
        <w:t xml:space="preserve"> investment objectives change or to include a particular class or type of investment.  The fund’s investment portfolio will be reviewed at least quarterly.</w:t>
      </w:r>
    </w:p>
    <w:p w14:paraId="72D714B9" w14:textId="77777777" w:rsidR="00DF478C" w:rsidRDefault="00DF478C" w:rsidP="00DF478C">
      <w:pPr>
        <w:jc w:val="both"/>
        <w:rPr>
          <w:sz w:val="24"/>
        </w:rPr>
      </w:pPr>
    </w:p>
    <w:p w14:paraId="404301C1" w14:textId="77777777" w:rsidR="00DF478C" w:rsidRDefault="00DF478C" w:rsidP="00DF478C">
      <w:pPr>
        <w:jc w:val="both"/>
        <w:rPr>
          <w:sz w:val="24"/>
        </w:rPr>
      </w:pPr>
    </w:p>
    <w:p w14:paraId="65A72F63" w14:textId="77777777" w:rsidR="00DF478C" w:rsidRDefault="00DF478C" w:rsidP="00DF478C">
      <w:pPr>
        <w:jc w:val="both"/>
        <w:rPr>
          <w:sz w:val="24"/>
        </w:rPr>
      </w:pPr>
    </w:p>
    <w:p w14:paraId="59D1E6D8" w14:textId="77777777" w:rsidR="00DF478C" w:rsidRDefault="00DF478C" w:rsidP="00DF478C">
      <w:pPr>
        <w:jc w:val="both"/>
        <w:rPr>
          <w:sz w:val="24"/>
        </w:rPr>
      </w:pPr>
    </w:p>
    <w:p w14:paraId="6491CC4D" w14:textId="77777777" w:rsidR="00DF478C" w:rsidRDefault="00DF478C" w:rsidP="00DF478C">
      <w:pPr>
        <w:jc w:val="both"/>
        <w:rPr>
          <w:sz w:val="24"/>
        </w:rPr>
      </w:pPr>
    </w:p>
    <w:p w14:paraId="48578C06" w14:textId="77777777" w:rsidR="00DF478C" w:rsidRDefault="00DF478C" w:rsidP="00DF478C">
      <w:pPr>
        <w:jc w:val="both"/>
        <w:rPr>
          <w:sz w:val="24"/>
        </w:rPr>
      </w:pPr>
    </w:p>
    <w:p w14:paraId="61A3AB27" w14:textId="342247EE" w:rsidR="001C4884" w:rsidRDefault="001C4884" w:rsidP="00DF478C">
      <w:pPr>
        <w:jc w:val="both"/>
        <w:rPr>
          <w:sz w:val="18"/>
        </w:rPr>
      </w:pPr>
    </w:p>
    <w:p w14:paraId="222E3334" w14:textId="77777777" w:rsidR="00982F0C" w:rsidRDefault="00982F0C" w:rsidP="00DF478C">
      <w:pPr>
        <w:jc w:val="both"/>
        <w:rPr>
          <w:sz w:val="18"/>
        </w:rPr>
      </w:pPr>
    </w:p>
    <w:p w14:paraId="5EE9E35D" w14:textId="77777777" w:rsidR="001C4884" w:rsidRDefault="001C4884" w:rsidP="00DF478C">
      <w:pPr>
        <w:jc w:val="both"/>
        <w:rPr>
          <w:szCs w:val="20"/>
          <w:lang w:val="en-GB"/>
        </w:rPr>
      </w:pPr>
      <w:r>
        <w:rPr>
          <w:sz w:val="18"/>
        </w:rPr>
        <w:t>___________________________________ Date: _________________</w:t>
      </w:r>
    </w:p>
    <w:p w14:paraId="4DC44BB7" w14:textId="518407F5" w:rsidR="00510F93" w:rsidRDefault="00FB6248" w:rsidP="001C4884">
      <w:pPr>
        <w:jc w:val="both"/>
        <w:rPr>
          <w:sz w:val="24"/>
          <w:lang w:val="en-GB"/>
        </w:rPr>
      </w:pPr>
      <w:proofErr w:type="spellStart"/>
      <w:r>
        <w:rPr>
          <w:sz w:val="24"/>
          <w:lang w:val="en-GB"/>
        </w:rPr>
        <w:t>Mazahir</w:t>
      </w:r>
      <w:proofErr w:type="spellEnd"/>
      <w:r>
        <w:rPr>
          <w:sz w:val="24"/>
          <w:lang w:val="en-GB"/>
        </w:rPr>
        <w:t xml:space="preserve"> Khan</w:t>
      </w:r>
    </w:p>
    <w:p w14:paraId="513225E2" w14:textId="77777777" w:rsidR="00991B7C" w:rsidRDefault="00991B7C" w:rsidP="001C4884">
      <w:pPr>
        <w:jc w:val="both"/>
      </w:pPr>
    </w:p>
    <w:p w14:paraId="7E9978A7" w14:textId="77777777" w:rsidR="001C4884" w:rsidRDefault="001C4884" w:rsidP="001C4884">
      <w:pPr>
        <w:jc w:val="both"/>
        <w:rPr>
          <w:sz w:val="18"/>
        </w:rPr>
      </w:pPr>
    </w:p>
    <w:p w14:paraId="60B6A251" w14:textId="77777777" w:rsidR="001C4884" w:rsidRDefault="001C4884" w:rsidP="001C4884">
      <w:pPr>
        <w:jc w:val="both"/>
        <w:rPr>
          <w:szCs w:val="20"/>
          <w:lang w:val="en-GB"/>
        </w:rPr>
      </w:pPr>
      <w:r>
        <w:rPr>
          <w:sz w:val="18"/>
        </w:rPr>
        <w:t>___________________________________ Date: _________________</w:t>
      </w:r>
    </w:p>
    <w:p w14:paraId="597DDCCF" w14:textId="0BE42DD0" w:rsidR="00510F93" w:rsidRDefault="00FB6248" w:rsidP="001C4884">
      <w:pPr>
        <w:jc w:val="both"/>
        <w:rPr>
          <w:sz w:val="24"/>
          <w:lang w:val="en-GB"/>
        </w:rPr>
      </w:pPr>
      <w:r>
        <w:rPr>
          <w:sz w:val="24"/>
          <w:lang w:val="en-GB"/>
        </w:rPr>
        <w:t>Arifa Khan</w:t>
      </w:r>
    </w:p>
    <w:p w14:paraId="4BBE4ED1" w14:textId="77777777" w:rsidR="00991B7C" w:rsidRDefault="00991B7C" w:rsidP="001C4884">
      <w:pPr>
        <w:jc w:val="both"/>
      </w:pPr>
    </w:p>
    <w:p w14:paraId="4C8CD3CE" w14:textId="77777777" w:rsidR="001C4884" w:rsidRDefault="001C4884" w:rsidP="001C4884">
      <w:pPr>
        <w:jc w:val="both"/>
        <w:rPr>
          <w:sz w:val="18"/>
        </w:rPr>
      </w:pPr>
    </w:p>
    <w:p w14:paraId="51A6612C" w14:textId="77777777" w:rsidR="001C4884" w:rsidRDefault="001C4884" w:rsidP="001C4884">
      <w:pPr>
        <w:jc w:val="both"/>
        <w:rPr>
          <w:szCs w:val="20"/>
          <w:lang w:val="en-GB"/>
        </w:rPr>
      </w:pPr>
      <w:r>
        <w:rPr>
          <w:sz w:val="18"/>
        </w:rPr>
        <w:t>___________________________________ Date: _________________</w:t>
      </w:r>
    </w:p>
    <w:p w14:paraId="76EABEEE" w14:textId="5EE281FD" w:rsidR="00510F93" w:rsidRDefault="00FB6248" w:rsidP="001C4884">
      <w:pPr>
        <w:jc w:val="both"/>
        <w:rPr>
          <w:sz w:val="24"/>
          <w:lang w:val="en-GB"/>
        </w:rPr>
      </w:pPr>
      <w:r>
        <w:rPr>
          <w:sz w:val="24"/>
          <w:lang w:val="en-GB"/>
        </w:rPr>
        <w:t>Omar Khan</w:t>
      </w:r>
    </w:p>
    <w:p w14:paraId="32A1AD7D" w14:textId="77777777" w:rsidR="00991B7C" w:rsidRDefault="00991B7C" w:rsidP="001C4884">
      <w:pPr>
        <w:jc w:val="both"/>
      </w:pPr>
    </w:p>
    <w:p w14:paraId="26ABAA85" w14:textId="77777777" w:rsidR="001C4884" w:rsidRDefault="001C4884" w:rsidP="001C4884">
      <w:pPr>
        <w:jc w:val="both"/>
        <w:rPr>
          <w:sz w:val="18"/>
        </w:rPr>
      </w:pPr>
    </w:p>
    <w:p w14:paraId="22B9861D" w14:textId="77777777" w:rsidR="001C4884" w:rsidRDefault="001C4884" w:rsidP="001C4884">
      <w:pPr>
        <w:jc w:val="both"/>
        <w:rPr>
          <w:szCs w:val="20"/>
          <w:lang w:val="en-GB"/>
        </w:rPr>
      </w:pPr>
      <w:r>
        <w:rPr>
          <w:sz w:val="18"/>
        </w:rPr>
        <w:t>___________________________________ Date: _________________</w:t>
      </w:r>
    </w:p>
    <w:p w14:paraId="425AB930" w14:textId="77777777" w:rsidR="00510F93" w:rsidRDefault="00FB6248" w:rsidP="001C4884">
      <w:pPr>
        <w:jc w:val="both"/>
      </w:pPr>
      <w:r>
        <w:rPr>
          <w:sz w:val="24"/>
          <w:lang w:val="en-GB"/>
        </w:rPr>
        <w:t>Harrison Khan</w:t>
      </w:r>
    </w:p>
    <w:sectPr w:rsidR="00510F93" w:rsidSect="00E1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94527"/>
    <w:multiLevelType w:val="hybridMultilevel"/>
    <w:tmpl w:val="4CEC61F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7028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C"/>
    <w:rsid w:val="00011782"/>
    <w:rsid w:val="000318B0"/>
    <w:rsid w:val="001A18CD"/>
    <w:rsid w:val="001B0C5D"/>
    <w:rsid w:val="001C4884"/>
    <w:rsid w:val="003151ED"/>
    <w:rsid w:val="00333C08"/>
    <w:rsid w:val="003402F8"/>
    <w:rsid w:val="00462A81"/>
    <w:rsid w:val="00476047"/>
    <w:rsid w:val="004E4A45"/>
    <w:rsid w:val="00510F93"/>
    <w:rsid w:val="0062103D"/>
    <w:rsid w:val="00750D44"/>
    <w:rsid w:val="00807C62"/>
    <w:rsid w:val="00895D29"/>
    <w:rsid w:val="00982F0C"/>
    <w:rsid w:val="00991B7C"/>
    <w:rsid w:val="009B1F24"/>
    <w:rsid w:val="009E0F5A"/>
    <w:rsid w:val="00A75021"/>
    <w:rsid w:val="00B34B15"/>
    <w:rsid w:val="00B37A1D"/>
    <w:rsid w:val="00B57BEC"/>
    <w:rsid w:val="00C16E7B"/>
    <w:rsid w:val="00D05CD1"/>
    <w:rsid w:val="00DF478C"/>
    <w:rsid w:val="00E16536"/>
    <w:rsid w:val="00EC6F99"/>
    <w:rsid w:val="00F67185"/>
    <w:rsid w:val="00FB6248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B4370"/>
  <w14:defaultImageDpi w14:val="0"/>
  <w15:docId w15:val="{143C2F90-68AB-447F-B949-A96DD37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8C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78C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478C"/>
    <w:pPr>
      <w:keepNext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DF478C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link w:val="Heading5"/>
    <w:uiPriority w:val="9"/>
    <w:locked/>
    <w:rsid w:val="00DF47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Louise  Barlow</cp:lastModifiedBy>
  <cp:revision>2</cp:revision>
  <cp:lastPrinted>2021-09-30T04:55:00Z</cp:lastPrinted>
  <dcterms:created xsi:type="dcterms:W3CDTF">2023-04-04T01:06:00Z</dcterms:created>
  <dcterms:modified xsi:type="dcterms:W3CDTF">2023-04-04T01:06:00Z</dcterms:modified>
</cp:coreProperties>
</file>