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52C85" w14:textId="5A625A59" w:rsidR="009F17E7" w:rsidRPr="001B5E2E" w:rsidRDefault="39D4AB90" w:rsidP="698340C4">
      <w:pPr>
        <w:spacing w:after="0" w:line="240" w:lineRule="auto"/>
        <w:jc w:val="center"/>
        <w:rPr>
          <w:rFonts w:eastAsiaTheme="minorEastAsia"/>
          <w:color w:val="000000" w:themeColor="text1"/>
        </w:rPr>
      </w:pPr>
      <w:r w:rsidRPr="001B5E2E">
        <w:rPr>
          <w:rFonts w:eastAsiaTheme="minorEastAsia"/>
          <w:b/>
          <w:bCs/>
          <w:color w:val="000000" w:themeColor="text1"/>
          <w:lang w:val="en-AU"/>
        </w:rPr>
        <w:t>Memorandum of Resolutions of the Trustees for</w:t>
      </w:r>
    </w:p>
    <w:p w14:paraId="24DCB6FF" w14:textId="2CE434E8" w:rsidR="00464F9C" w:rsidRPr="001B5E2E" w:rsidRDefault="00464F9C" w:rsidP="698340C4">
      <w:pPr>
        <w:spacing w:after="0" w:line="240" w:lineRule="auto"/>
        <w:jc w:val="center"/>
        <w:rPr>
          <w:rFonts w:eastAsiaTheme="minorEastAsia"/>
          <w:b/>
          <w:bCs/>
          <w:color w:val="000000" w:themeColor="text1"/>
          <w:lang w:val="en-AU"/>
        </w:rPr>
      </w:pPr>
      <w:r w:rsidRPr="001B5E2E">
        <w:rPr>
          <w:rFonts w:eastAsiaTheme="minorEastAsia"/>
          <w:b/>
          <w:bCs/>
          <w:color w:val="000000" w:themeColor="text1"/>
          <w:lang w:val="en-AU"/>
        </w:rPr>
        <w:t>Gary C Moore &amp; Co Superannuation Fund No 2</w:t>
      </w:r>
    </w:p>
    <w:p w14:paraId="29D8D5AF" w14:textId="45682A93" w:rsidR="009F17E7" w:rsidRPr="001B5E2E" w:rsidRDefault="009F17E7" w:rsidP="698340C4">
      <w:pPr>
        <w:spacing w:after="0" w:line="240" w:lineRule="auto"/>
        <w:rPr>
          <w:rFonts w:eastAsiaTheme="minorEastAsia"/>
          <w:color w:val="000000" w:themeColor="text1"/>
        </w:rPr>
      </w:pPr>
    </w:p>
    <w:p w14:paraId="7E6EAF26" w14:textId="77777777" w:rsidR="00464F9C" w:rsidRPr="001B5E2E" w:rsidRDefault="00464F9C" w:rsidP="698340C4">
      <w:pPr>
        <w:spacing w:after="0" w:line="240" w:lineRule="auto"/>
        <w:rPr>
          <w:rFonts w:eastAsiaTheme="minorEastAsia"/>
          <w:color w:val="000000" w:themeColor="text1"/>
        </w:rPr>
      </w:pPr>
    </w:p>
    <w:tbl>
      <w:tblPr>
        <w:tblStyle w:val="TableGrid"/>
        <w:tblW w:w="0" w:type="auto"/>
        <w:tblLayout w:type="fixed"/>
        <w:tblLook w:val="04A0" w:firstRow="1" w:lastRow="0" w:firstColumn="1" w:lastColumn="0" w:noHBand="0" w:noVBand="1"/>
      </w:tblPr>
      <w:tblGrid>
        <w:gridCol w:w="1926"/>
        <w:gridCol w:w="7089"/>
      </w:tblGrid>
      <w:tr w:rsidR="39D4AB90" w:rsidRPr="001B5E2E" w14:paraId="00CAA3E7" w14:textId="77777777" w:rsidTr="698340C4">
        <w:tc>
          <w:tcPr>
            <w:tcW w:w="1926" w:type="dxa"/>
            <w:tcBorders>
              <w:top w:val="nil"/>
              <w:left w:val="nil"/>
              <w:bottom w:val="nil"/>
              <w:right w:val="nil"/>
            </w:tcBorders>
          </w:tcPr>
          <w:p w14:paraId="27281886" w14:textId="501B6305" w:rsidR="39D4AB90" w:rsidRPr="001B5E2E" w:rsidRDefault="39D4AB90" w:rsidP="698340C4">
            <w:pPr>
              <w:spacing w:line="259" w:lineRule="auto"/>
              <w:rPr>
                <w:rFonts w:eastAsiaTheme="minorEastAsia"/>
              </w:rPr>
            </w:pPr>
            <w:r w:rsidRPr="001B5E2E">
              <w:rPr>
                <w:rFonts w:eastAsiaTheme="minorEastAsia"/>
                <w:b/>
                <w:bCs/>
                <w:lang w:val="en-AU"/>
              </w:rPr>
              <w:t>Present:</w:t>
            </w:r>
          </w:p>
        </w:tc>
        <w:tc>
          <w:tcPr>
            <w:tcW w:w="7089" w:type="dxa"/>
            <w:tcBorders>
              <w:top w:val="nil"/>
              <w:left w:val="nil"/>
              <w:bottom w:val="nil"/>
              <w:right w:val="nil"/>
            </w:tcBorders>
          </w:tcPr>
          <w:p w14:paraId="1F2F3266" w14:textId="02B49348" w:rsidR="39D4AB90" w:rsidRPr="001B5E2E" w:rsidRDefault="00464F9C" w:rsidP="698340C4">
            <w:pPr>
              <w:spacing w:line="259" w:lineRule="auto"/>
              <w:rPr>
                <w:rFonts w:eastAsiaTheme="minorEastAsia"/>
                <w:lang w:val="en-AU"/>
              </w:rPr>
            </w:pPr>
            <w:r w:rsidRPr="001B5E2E">
              <w:rPr>
                <w:rFonts w:eastAsiaTheme="minorEastAsia"/>
                <w:lang w:val="en-AU"/>
              </w:rPr>
              <w:t>Gary Moore</w:t>
            </w:r>
          </w:p>
          <w:p w14:paraId="0ECBB289" w14:textId="797A6918" w:rsidR="00464F9C" w:rsidRPr="001B5E2E" w:rsidRDefault="00464F9C" w:rsidP="698340C4">
            <w:pPr>
              <w:spacing w:line="259" w:lineRule="auto"/>
              <w:rPr>
                <w:rFonts w:eastAsiaTheme="minorEastAsia"/>
              </w:rPr>
            </w:pPr>
            <w:r w:rsidRPr="001B5E2E">
              <w:rPr>
                <w:rFonts w:eastAsiaTheme="minorEastAsia"/>
                <w:lang w:val="en-AU"/>
              </w:rPr>
              <w:t>Debra Moore</w:t>
            </w:r>
          </w:p>
          <w:p w14:paraId="6DE4FE0C" w14:textId="5FF6F08D" w:rsidR="39D4AB90" w:rsidRPr="001B5E2E" w:rsidRDefault="39D4AB90" w:rsidP="698340C4">
            <w:pPr>
              <w:spacing w:line="259" w:lineRule="auto"/>
              <w:rPr>
                <w:rFonts w:eastAsiaTheme="minorEastAsia"/>
              </w:rPr>
            </w:pPr>
          </w:p>
        </w:tc>
      </w:tr>
      <w:tr w:rsidR="39D4AB90" w:rsidRPr="001B5E2E" w14:paraId="2A6BC20F" w14:textId="77777777" w:rsidTr="698340C4">
        <w:tc>
          <w:tcPr>
            <w:tcW w:w="1926" w:type="dxa"/>
            <w:tcBorders>
              <w:top w:val="nil"/>
              <w:left w:val="nil"/>
              <w:bottom w:val="nil"/>
              <w:right w:val="nil"/>
            </w:tcBorders>
          </w:tcPr>
          <w:p w14:paraId="0EE3305B" w14:textId="68FC1519" w:rsidR="39D4AB90" w:rsidRPr="001B5E2E" w:rsidRDefault="39D4AB90" w:rsidP="698340C4">
            <w:pPr>
              <w:spacing w:line="259" w:lineRule="auto"/>
              <w:rPr>
                <w:rFonts w:eastAsiaTheme="minorEastAsia"/>
              </w:rPr>
            </w:pPr>
            <w:r w:rsidRPr="001B5E2E">
              <w:rPr>
                <w:rFonts w:eastAsiaTheme="minorEastAsia"/>
                <w:b/>
                <w:bCs/>
                <w:lang w:val="en-AU"/>
              </w:rPr>
              <w:t>Property Valuation:</w:t>
            </w:r>
          </w:p>
        </w:tc>
        <w:tc>
          <w:tcPr>
            <w:tcW w:w="7089" w:type="dxa"/>
            <w:tcBorders>
              <w:top w:val="nil"/>
              <w:left w:val="nil"/>
              <w:bottom w:val="nil"/>
              <w:right w:val="nil"/>
            </w:tcBorders>
          </w:tcPr>
          <w:p w14:paraId="2D7B5006" w14:textId="61D7A988" w:rsidR="39D4AB90" w:rsidRPr="001B5E2E" w:rsidRDefault="39D4AB90" w:rsidP="698340C4">
            <w:pPr>
              <w:spacing w:line="259" w:lineRule="auto"/>
              <w:rPr>
                <w:rFonts w:eastAsiaTheme="minorEastAsia"/>
                <w:lang w:val="en-AU"/>
              </w:rPr>
            </w:pPr>
            <w:r w:rsidRPr="001B5E2E">
              <w:rPr>
                <w:rFonts w:eastAsiaTheme="minorEastAsia"/>
                <w:lang w:val="en-AU"/>
              </w:rPr>
              <w:t>The Trustees are aware that all assets of super funds are required to be valued at market value in accordance with SIS Regulation 8.02B, subsection 10(1) of the SIS Act, and the ATO's guidelines on valuations of real property.</w:t>
            </w:r>
          </w:p>
          <w:p w14:paraId="08613953" w14:textId="255AA3E6" w:rsidR="39D4AB90" w:rsidRPr="001B5E2E" w:rsidRDefault="39D4AB90" w:rsidP="698340C4">
            <w:pPr>
              <w:spacing w:line="259" w:lineRule="auto"/>
              <w:rPr>
                <w:rFonts w:eastAsiaTheme="minorEastAsia"/>
                <w:lang w:val="en-AU"/>
              </w:rPr>
            </w:pPr>
          </w:p>
          <w:p w14:paraId="1AB900A8" w14:textId="30737A11" w:rsidR="39D4AB90" w:rsidRPr="001B5E2E" w:rsidRDefault="39D4AB90" w:rsidP="698340C4">
            <w:pPr>
              <w:spacing w:line="259" w:lineRule="auto"/>
              <w:rPr>
                <w:rFonts w:eastAsiaTheme="minorEastAsia"/>
              </w:rPr>
            </w:pPr>
            <w:r w:rsidRPr="001B5E2E">
              <w:rPr>
                <w:rFonts w:eastAsiaTheme="minorEastAsia"/>
                <w:lang w:val="en-AU"/>
              </w:rPr>
              <w:t>The Trustees tabled the most recent independent property valuation report for review and discussion.</w:t>
            </w:r>
          </w:p>
          <w:p w14:paraId="1E573F51" w14:textId="6A382E29" w:rsidR="39D4AB90" w:rsidRPr="001B5E2E" w:rsidRDefault="39D4AB90" w:rsidP="698340C4">
            <w:pPr>
              <w:spacing w:line="259" w:lineRule="auto"/>
              <w:rPr>
                <w:rFonts w:eastAsiaTheme="minorEastAsia"/>
                <w:lang w:val="en-AU"/>
              </w:rPr>
            </w:pPr>
          </w:p>
          <w:tbl>
            <w:tblPr>
              <w:tblStyle w:val="TableGrid"/>
              <w:tblW w:w="0" w:type="auto"/>
              <w:tblBorders>
                <w:top w:val="none" w:sz="4" w:space="0" w:color="000000" w:themeColor="text1"/>
                <w:left w:val="none" w:sz="4" w:space="0" w:color="000000" w:themeColor="text1"/>
                <w:bottom w:val="none" w:sz="4" w:space="0" w:color="000000" w:themeColor="text1"/>
                <w:right w:val="none" w:sz="4" w:space="0" w:color="000000" w:themeColor="text1"/>
                <w:insideH w:val="none" w:sz="4" w:space="0" w:color="000000" w:themeColor="text1"/>
                <w:insideV w:val="none" w:sz="4" w:space="0" w:color="000000" w:themeColor="text1"/>
              </w:tblBorders>
              <w:tblLayout w:type="fixed"/>
              <w:tblLook w:val="06A0" w:firstRow="1" w:lastRow="0" w:firstColumn="1" w:lastColumn="0" w:noHBand="1" w:noVBand="1"/>
            </w:tblPr>
            <w:tblGrid>
              <w:gridCol w:w="1875"/>
              <w:gridCol w:w="5700"/>
            </w:tblGrid>
            <w:tr w:rsidR="39D4AB90" w:rsidRPr="001B5E2E" w14:paraId="657E23D2" w14:textId="77777777" w:rsidTr="698340C4">
              <w:tc>
                <w:tcPr>
                  <w:tcW w:w="1875" w:type="dxa"/>
                </w:tcPr>
                <w:p w14:paraId="2D17E8AD" w14:textId="7806CFF2" w:rsidR="39D4AB90" w:rsidRPr="001B5E2E" w:rsidRDefault="39D4AB90" w:rsidP="698340C4">
                  <w:pPr>
                    <w:rPr>
                      <w:rFonts w:eastAsiaTheme="minorEastAsia"/>
                      <w:lang w:val="en-AU"/>
                    </w:rPr>
                  </w:pPr>
                  <w:r w:rsidRPr="001B5E2E">
                    <w:rPr>
                      <w:rFonts w:eastAsiaTheme="minorEastAsia"/>
                      <w:lang w:val="en-AU"/>
                    </w:rPr>
                    <w:t>Address:</w:t>
                  </w:r>
                </w:p>
              </w:tc>
              <w:tc>
                <w:tcPr>
                  <w:tcW w:w="5700" w:type="dxa"/>
                </w:tcPr>
                <w:p w14:paraId="653F3559" w14:textId="3D0EC41B" w:rsidR="39D4AB90" w:rsidRPr="001B5E2E" w:rsidRDefault="009E29B7" w:rsidP="698340C4">
                  <w:pPr>
                    <w:rPr>
                      <w:rFonts w:eastAsiaTheme="minorEastAsia"/>
                      <w:lang w:val="en-AU"/>
                    </w:rPr>
                  </w:pPr>
                  <w:r w:rsidRPr="001B5E2E">
                    <w:rPr>
                      <w:rFonts w:eastAsiaTheme="minorEastAsia"/>
                      <w:lang w:val="en-AU"/>
                    </w:rPr>
                    <w:t>Units 1 &amp; 2</w:t>
                  </w:r>
                  <w:r w:rsidR="005E52B5" w:rsidRPr="001B5E2E">
                    <w:rPr>
                      <w:rFonts w:eastAsiaTheme="minorEastAsia"/>
                      <w:lang w:val="en-AU"/>
                    </w:rPr>
                    <w:t>, 5-7 Steel Street, Capalaba</w:t>
                  </w:r>
                </w:p>
              </w:tc>
            </w:tr>
            <w:tr w:rsidR="39D4AB90" w:rsidRPr="001B5E2E" w14:paraId="16DEC6BC" w14:textId="77777777" w:rsidTr="698340C4">
              <w:tc>
                <w:tcPr>
                  <w:tcW w:w="1875" w:type="dxa"/>
                </w:tcPr>
                <w:p w14:paraId="6C0544CF" w14:textId="6934A201" w:rsidR="39D4AB90" w:rsidRPr="001B5E2E" w:rsidRDefault="39D4AB90" w:rsidP="698340C4">
                  <w:pPr>
                    <w:spacing w:line="259" w:lineRule="auto"/>
                    <w:rPr>
                      <w:rFonts w:eastAsiaTheme="minorEastAsia"/>
                      <w:lang w:val="en-AU"/>
                    </w:rPr>
                  </w:pPr>
                  <w:r w:rsidRPr="001B5E2E">
                    <w:rPr>
                      <w:rFonts w:eastAsiaTheme="minorEastAsia"/>
                      <w:lang w:val="en-AU"/>
                    </w:rPr>
                    <w:t>Valuation:</w:t>
                  </w:r>
                </w:p>
              </w:tc>
              <w:tc>
                <w:tcPr>
                  <w:tcW w:w="5700" w:type="dxa"/>
                </w:tcPr>
                <w:p w14:paraId="0C51C700" w14:textId="443FB65D" w:rsidR="39D4AB90" w:rsidRPr="001B5E2E" w:rsidRDefault="39D4AB90" w:rsidP="698340C4">
                  <w:pPr>
                    <w:rPr>
                      <w:rFonts w:eastAsiaTheme="minorEastAsia"/>
                      <w:lang w:val="en-AU"/>
                    </w:rPr>
                  </w:pPr>
                  <w:r w:rsidRPr="001B5E2E">
                    <w:rPr>
                      <w:rFonts w:eastAsiaTheme="minorEastAsia"/>
                      <w:lang w:val="en-AU"/>
                    </w:rPr>
                    <w:t>$</w:t>
                  </w:r>
                  <w:r w:rsidR="005E52B5" w:rsidRPr="001B5E2E">
                    <w:rPr>
                      <w:rFonts w:eastAsiaTheme="minorEastAsia"/>
                      <w:lang w:val="en-AU"/>
                    </w:rPr>
                    <w:t>1,750,000</w:t>
                  </w:r>
                </w:p>
              </w:tc>
            </w:tr>
            <w:tr w:rsidR="39D4AB90" w:rsidRPr="001B5E2E" w14:paraId="48655477" w14:textId="77777777" w:rsidTr="698340C4">
              <w:tc>
                <w:tcPr>
                  <w:tcW w:w="1875" w:type="dxa"/>
                </w:tcPr>
                <w:p w14:paraId="251CF28B" w14:textId="5A2BE9FE" w:rsidR="39D4AB90" w:rsidRPr="001B5E2E" w:rsidRDefault="39D4AB90" w:rsidP="698340C4">
                  <w:pPr>
                    <w:spacing w:line="259" w:lineRule="auto"/>
                    <w:rPr>
                      <w:rFonts w:eastAsiaTheme="minorEastAsia"/>
                      <w:lang w:val="en-AU"/>
                    </w:rPr>
                  </w:pPr>
                  <w:r w:rsidRPr="001B5E2E">
                    <w:rPr>
                      <w:rFonts w:eastAsiaTheme="minorEastAsia"/>
                      <w:lang w:val="en-AU"/>
                    </w:rPr>
                    <w:t>Valuation Date:</w:t>
                  </w:r>
                </w:p>
              </w:tc>
              <w:tc>
                <w:tcPr>
                  <w:tcW w:w="5700" w:type="dxa"/>
                </w:tcPr>
                <w:p w14:paraId="62E07F97" w14:textId="233923BE" w:rsidR="39D4AB90" w:rsidRPr="001B5E2E" w:rsidRDefault="005E52B5" w:rsidP="698340C4">
                  <w:pPr>
                    <w:rPr>
                      <w:rFonts w:eastAsiaTheme="minorEastAsia"/>
                      <w:lang w:val="en-AU"/>
                    </w:rPr>
                  </w:pPr>
                  <w:r w:rsidRPr="001B5E2E">
                    <w:rPr>
                      <w:rFonts w:eastAsiaTheme="minorEastAsia"/>
                      <w:lang w:val="en-AU"/>
                    </w:rPr>
                    <w:t xml:space="preserve">19 January </w:t>
                  </w:r>
                  <w:r w:rsidR="39D4AB90" w:rsidRPr="001B5E2E">
                    <w:rPr>
                      <w:rFonts w:eastAsiaTheme="minorEastAsia"/>
                      <w:lang w:val="en-AU"/>
                    </w:rPr>
                    <w:t>2020</w:t>
                  </w:r>
                </w:p>
              </w:tc>
            </w:tr>
            <w:tr w:rsidR="39D4AB90" w:rsidRPr="001B5E2E" w14:paraId="333EBADB" w14:textId="77777777" w:rsidTr="698340C4">
              <w:tc>
                <w:tcPr>
                  <w:tcW w:w="1875" w:type="dxa"/>
                </w:tcPr>
                <w:p w14:paraId="48F0401E" w14:textId="64B63B76" w:rsidR="39D4AB90" w:rsidRPr="001B5E2E" w:rsidRDefault="39D4AB90" w:rsidP="698340C4">
                  <w:pPr>
                    <w:spacing w:line="259" w:lineRule="auto"/>
                    <w:rPr>
                      <w:rFonts w:eastAsiaTheme="minorEastAsia"/>
                      <w:lang w:val="en-AU"/>
                    </w:rPr>
                  </w:pPr>
                  <w:r w:rsidRPr="001B5E2E">
                    <w:rPr>
                      <w:rFonts w:eastAsiaTheme="minorEastAsia"/>
                      <w:lang w:val="en-AU"/>
                    </w:rPr>
                    <w:t>Source:</w:t>
                  </w:r>
                </w:p>
              </w:tc>
              <w:tc>
                <w:tcPr>
                  <w:tcW w:w="5700" w:type="dxa"/>
                </w:tcPr>
                <w:p w14:paraId="42E2072E" w14:textId="405E7FC9" w:rsidR="39D4AB90" w:rsidRPr="001B5E2E" w:rsidRDefault="005E52B5" w:rsidP="698340C4">
                  <w:pPr>
                    <w:rPr>
                      <w:rFonts w:eastAsiaTheme="minorEastAsia"/>
                      <w:lang w:val="en-AU"/>
                    </w:rPr>
                  </w:pPr>
                  <w:r w:rsidRPr="001B5E2E">
                    <w:rPr>
                      <w:rFonts w:eastAsiaTheme="minorEastAsia"/>
                      <w:lang w:val="en-AU"/>
                    </w:rPr>
                    <w:t>Raine and Horne Commercial</w:t>
                  </w:r>
                </w:p>
              </w:tc>
            </w:tr>
            <w:tr w:rsidR="39D4AB90" w:rsidRPr="001B5E2E" w14:paraId="05AFE2D9" w14:textId="77777777" w:rsidTr="698340C4">
              <w:tc>
                <w:tcPr>
                  <w:tcW w:w="1875" w:type="dxa"/>
                </w:tcPr>
                <w:p w14:paraId="7DE8A436" w14:textId="12271A0B" w:rsidR="39D4AB90" w:rsidRPr="001B5E2E" w:rsidRDefault="39D4AB90" w:rsidP="698340C4">
                  <w:pPr>
                    <w:spacing w:line="259" w:lineRule="auto"/>
                    <w:rPr>
                      <w:rFonts w:eastAsiaTheme="minorEastAsia"/>
                      <w:lang w:val="en-AU"/>
                    </w:rPr>
                  </w:pPr>
                  <w:r w:rsidRPr="001B5E2E">
                    <w:rPr>
                      <w:rFonts w:eastAsiaTheme="minorEastAsia"/>
                      <w:lang w:val="en-AU"/>
                    </w:rPr>
                    <w:t>Type:</w:t>
                  </w:r>
                </w:p>
              </w:tc>
              <w:tc>
                <w:tcPr>
                  <w:tcW w:w="5700" w:type="dxa"/>
                </w:tcPr>
                <w:p w14:paraId="7B7359D9" w14:textId="38408324" w:rsidR="39D4AB90" w:rsidRPr="001B5E2E" w:rsidRDefault="39D4AB90" w:rsidP="698340C4">
                  <w:pPr>
                    <w:rPr>
                      <w:rFonts w:eastAsiaTheme="minorEastAsia"/>
                      <w:lang w:val="en-AU"/>
                    </w:rPr>
                  </w:pPr>
                  <w:r w:rsidRPr="001B5E2E">
                    <w:rPr>
                      <w:rFonts w:eastAsiaTheme="minorEastAsia"/>
                      <w:lang w:val="en-AU"/>
                    </w:rPr>
                    <w:t>Short Form Valuation</w:t>
                  </w:r>
                </w:p>
              </w:tc>
            </w:tr>
          </w:tbl>
          <w:p w14:paraId="4BE225A1" w14:textId="4E55F9A5" w:rsidR="39D4AB90" w:rsidRPr="001B5E2E" w:rsidRDefault="39D4AB90" w:rsidP="698340C4">
            <w:pPr>
              <w:spacing w:line="259" w:lineRule="auto"/>
              <w:rPr>
                <w:rFonts w:eastAsiaTheme="minorEastAsia"/>
                <w:lang w:val="en-AU"/>
              </w:rPr>
            </w:pPr>
            <w:r w:rsidRPr="001B5E2E">
              <w:rPr>
                <w:rFonts w:eastAsiaTheme="minorEastAsia"/>
                <w:lang w:val="en-AU"/>
              </w:rPr>
              <w:t xml:space="preserve"> </w:t>
            </w:r>
          </w:p>
          <w:p w14:paraId="10C0DDEA" w14:textId="7B824B21" w:rsidR="39D4AB90" w:rsidRPr="001B5E2E" w:rsidRDefault="39D4AB90" w:rsidP="698340C4">
            <w:pPr>
              <w:spacing w:line="259" w:lineRule="auto"/>
              <w:rPr>
                <w:rFonts w:eastAsiaTheme="minorEastAsia"/>
                <w:lang w:val="en-AU"/>
              </w:rPr>
            </w:pPr>
            <w:r w:rsidRPr="001B5E2E">
              <w:rPr>
                <w:rFonts w:eastAsiaTheme="minorEastAsia"/>
                <w:lang w:val="en-AU"/>
              </w:rPr>
              <w:t xml:space="preserve">The Trustees note that no significant improvements have been undertaken since the last valuation, nor has there been any events which would cause a significant change to that valuation. </w:t>
            </w:r>
          </w:p>
          <w:p w14:paraId="4165ADBB" w14:textId="1761967C" w:rsidR="39D4AB90" w:rsidRPr="001B5E2E" w:rsidRDefault="39D4AB90" w:rsidP="698340C4">
            <w:pPr>
              <w:spacing w:line="259" w:lineRule="auto"/>
              <w:rPr>
                <w:rFonts w:eastAsiaTheme="minorEastAsia"/>
              </w:rPr>
            </w:pPr>
          </w:p>
        </w:tc>
      </w:tr>
      <w:tr w:rsidR="39D4AB90" w:rsidRPr="001B5E2E" w14:paraId="7A697CA1" w14:textId="77777777" w:rsidTr="698340C4">
        <w:tc>
          <w:tcPr>
            <w:tcW w:w="1926" w:type="dxa"/>
            <w:tcBorders>
              <w:top w:val="nil"/>
              <w:left w:val="nil"/>
              <w:bottom w:val="nil"/>
              <w:right w:val="nil"/>
            </w:tcBorders>
          </w:tcPr>
          <w:p w14:paraId="1F5318CE" w14:textId="2BEDCF57" w:rsidR="39D4AB90" w:rsidRPr="001B5E2E" w:rsidRDefault="39D4AB90" w:rsidP="698340C4">
            <w:pPr>
              <w:spacing w:line="259" w:lineRule="auto"/>
              <w:rPr>
                <w:rFonts w:eastAsiaTheme="minorEastAsia"/>
              </w:rPr>
            </w:pPr>
            <w:r w:rsidRPr="001B5E2E">
              <w:rPr>
                <w:rFonts w:eastAsiaTheme="minorEastAsia"/>
                <w:b/>
                <w:bCs/>
                <w:lang w:val="en-AU"/>
              </w:rPr>
              <w:t>Resolution:</w:t>
            </w:r>
          </w:p>
        </w:tc>
        <w:tc>
          <w:tcPr>
            <w:tcW w:w="7089" w:type="dxa"/>
            <w:tcBorders>
              <w:top w:val="nil"/>
              <w:left w:val="nil"/>
              <w:bottom w:val="nil"/>
              <w:right w:val="nil"/>
            </w:tcBorders>
          </w:tcPr>
          <w:p w14:paraId="7F8DCA20" w14:textId="17BA187B" w:rsidR="39D4AB90" w:rsidRPr="001B5E2E" w:rsidRDefault="39D4AB90" w:rsidP="698340C4">
            <w:pPr>
              <w:spacing w:line="259" w:lineRule="auto"/>
              <w:rPr>
                <w:rFonts w:eastAsiaTheme="minorEastAsia"/>
                <w:lang w:val="en-AU"/>
              </w:rPr>
            </w:pPr>
            <w:r w:rsidRPr="001B5E2E">
              <w:rPr>
                <w:rFonts w:eastAsiaTheme="minorEastAsia"/>
                <w:lang w:val="en-AU"/>
              </w:rPr>
              <w:t>The Trustees have reviewed the content and assumptions within the current valuation report and are of the opinion that:</w:t>
            </w:r>
          </w:p>
          <w:p w14:paraId="2120C47B" w14:textId="112EADCC" w:rsidR="39D4AB90" w:rsidRPr="001B5E2E" w:rsidRDefault="39D4AB90" w:rsidP="698340C4">
            <w:pPr>
              <w:pStyle w:val="ListParagraph"/>
              <w:numPr>
                <w:ilvl w:val="0"/>
                <w:numId w:val="1"/>
              </w:numPr>
              <w:spacing w:line="259" w:lineRule="auto"/>
              <w:rPr>
                <w:rFonts w:eastAsiaTheme="minorEastAsia"/>
                <w:lang w:val="en-AU"/>
              </w:rPr>
            </w:pPr>
            <w:r w:rsidRPr="001B5E2E">
              <w:rPr>
                <w:rFonts w:eastAsiaTheme="minorEastAsia"/>
                <w:lang w:val="en-AU"/>
              </w:rPr>
              <w:t xml:space="preserve">it was obtained within a suitable time frame to still be applied; and </w:t>
            </w:r>
          </w:p>
          <w:p w14:paraId="00265928" w14:textId="56E68E5B" w:rsidR="39D4AB90" w:rsidRPr="001B5E2E" w:rsidRDefault="39D4AB90" w:rsidP="698340C4">
            <w:pPr>
              <w:pStyle w:val="ListParagraph"/>
              <w:numPr>
                <w:ilvl w:val="0"/>
                <w:numId w:val="1"/>
              </w:numPr>
              <w:spacing w:line="259" w:lineRule="auto"/>
              <w:rPr>
                <w:rFonts w:eastAsiaTheme="minorEastAsia"/>
                <w:lang w:val="en-AU"/>
              </w:rPr>
            </w:pPr>
            <w:r w:rsidRPr="001B5E2E">
              <w:rPr>
                <w:rFonts w:eastAsiaTheme="minorEastAsia"/>
                <w:lang w:val="en-AU"/>
              </w:rPr>
              <w:t>the valuation fairly represents the current market value of the property for the year ended 30 June 2022.</w:t>
            </w:r>
          </w:p>
          <w:p w14:paraId="12EE4E4E" w14:textId="26559513" w:rsidR="39D4AB90" w:rsidRPr="001B5E2E" w:rsidRDefault="39D4AB90" w:rsidP="698340C4">
            <w:pPr>
              <w:spacing w:line="259" w:lineRule="auto"/>
              <w:rPr>
                <w:rFonts w:eastAsiaTheme="minorEastAsia"/>
              </w:rPr>
            </w:pPr>
          </w:p>
        </w:tc>
      </w:tr>
      <w:tr w:rsidR="39D4AB90" w:rsidRPr="001B5E2E" w14:paraId="1599E88C" w14:textId="77777777" w:rsidTr="698340C4">
        <w:tc>
          <w:tcPr>
            <w:tcW w:w="1926" w:type="dxa"/>
            <w:tcBorders>
              <w:top w:val="nil"/>
              <w:left w:val="nil"/>
              <w:bottom w:val="nil"/>
              <w:right w:val="nil"/>
            </w:tcBorders>
          </w:tcPr>
          <w:p w14:paraId="44F02A25" w14:textId="7C1D3F04" w:rsidR="39D4AB90" w:rsidRPr="001B5E2E" w:rsidRDefault="39D4AB90" w:rsidP="698340C4">
            <w:pPr>
              <w:spacing w:line="259" w:lineRule="auto"/>
              <w:rPr>
                <w:rFonts w:eastAsiaTheme="minorEastAsia"/>
              </w:rPr>
            </w:pPr>
            <w:r w:rsidRPr="001B5E2E">
              <w:rPr>
                <w:rFonts w:eastAsiaTheme="minorEastAsia"/>
                <w:b/>
                <w:bCs/>
                <w:lang w:val="en-AU"/>
              </w:rPr>
              <w:t>Closure:</w:t>
            </w:r>
          </w:p>
        </w:tc>
        <w:tc>
          <w:tcPr>
            <w:tcW w:w="7089" w:type="dxa"/>
            <w:tcBorders>
              <w:top w:val="nil"/>
              <w:left w:val="nil"/>
              <w:bottom w:val="nil"/>
              <w:right w:val="nil"/>
            </w:tcBorders>
          </w:tcPr>
          <w:p w14:paraId="1A7BEC18" w14:textId="307EB0D0" w:rsidR="39D4AB90" w:rsidRPr="001B5E2E" w:rsidRDefault="39D4AB90" w:rsidP="698340C4">
            <w:pPr>
              <w:spacing w:line="259" w:lineRule="auto"/>
              <w:rPr>
                <w:rFonts w:eastAsiaTheme="minorEastAsia"/>
              </w:rPr>
            </w:pPr>
            <w:r w:rsidRPr="001B5E2E">
              <w:rPr>
                <w:rFonts w:eastAsiaTheme="minorEastAsia"/>
                <w:lang w:val="en-AU"/>
              </w:rPr>
              <w:t>There being no further business, the meeting was declared closed.</w:t>
            </w:r>
          </w:p>
          <w:p w14:paraId="6947A2C5" w14:textId="2CCC35A9" w:rsidR="39D4AB90" w:rsidRPr="001B5E2E" w:rsidRDefault="39D4AB90" w:rsidP="698340C4">
            <w:pPr>
              <w:spacing w:line="259" w:lineRule="auto"/>
              <w:rPr>
                <w:rFonts w:eastAsiaTheme="minorEastAsia"/>
              </w:rPr>
            </w:pPr>
          </w:p>
        </w:tc>
      </w:tr>
      <w:tr w:rsidR="39D4AB90" w14:paraId="6A81FD0B" w14:textId="77777777" w:rsidTr="698340C4">
        <w:tc>
          <w:tcPr>
            <w:tcW w:w="1926" w:type="dxa"/>
            <w:tcBorders>
              <w:top w:val="nil"/>
              <w:left w:val="nil"/>
              <w:bottom w:val="nil"/>
              <w:right w:val="nil"/>
            </w:tcBorders>
          </w:tcPr>
          <w:p w14:paraId="24F949EA" w14:textId="017FA23A" w:rsidR="39D4AB90" w:rsidRPr="001B5E2E" w:rsidRDefault="39D4AB90" w:rsidP="698340C4">
            <w:pPr>
              <w:spacing w:line="259" w:lineRule="auto"/>
              <w:rPr>
                <w:rFonts w:eastAsiaTheme="minorEastAsia"/>
              </w:rPr>
            </w:pPr>
          </w:p>
        </w:tc>
        <w:tc>
          <w:tcPr>
            <w:tcW w:w="7089" w:type="dxa"/>
            <w:tcBorders>
              <w:top w:val="nil"/>
              <w:left w:val="nil"/>
              <w:bottom w:val="nil"/>
              <w:right w:val="nil"/>
            </w:tcBorders>
          </w:tcPr>
          <w:p w14:paraId="1524D2D2" w14:textId="143F46C9" w:rsidR="39D4AB90" w:rsidRPr="001B5E2E" w:rsidRDefault="39D4AB90" w:rsidP="698340C4">
            <w:pPr>
              <w:spacing w:line="259" w:lineRule="auto"/>
              <w:rPr>
                <w:rFonts w:eastAsiaTheme="minorEastAsia"/>
              </w:rPr>
            </w:pPr>
            <w:r w:rsidRPr="001B5E2E">
              <w:rPr>
                <w:rFonts w:eastAsiaTheme="minorEastAsia"/>
                <w:lang w:val="en-AU"/>
              </w:rPr>
              <w:t xml:space="preserve">Signed as a true and correct </w:t>
            </w:r>
            <w:proofErr w:type="gramStart"/>
            <w:r w:rsidRPr="001B5E2E">
              <w:rPr>
                <w:rFonts w:eastAsiaTheme="minorEastAsia"/>
                <w:lang w:val="en-AU"/>
              </w:rPr>
              <w:t>record</w:t>
            </w:r>
            <w:proofErr w:type="gramEnd"/>
          </w:p>
          <w:p w14:paraId="669FDF67" w14:textId="2B6CA64D" w:rsidR="39D4AB90" w:rsidRPr="001B5E2E" w:rsidRDefault="39D4AB90" w:rsidP="698340C4">
            <w:pPr>
              <w:spacing w:line="259" w:lineRule="auto"/>
              <w:rPr>
                <w:rFonts w:eastAsiaTheme="minorEastAsia"/>
              </w:rPr>
            </w:pPr>
          </w:p>
          <w:p w14:paraId="68CBD8DA" w14:textId="478F6FB2" w:rsidR="39D4AB90" w:rsidRPr="001B5E2E" w:rsidRDefault="39D4AB90" w:rsidP="698340C4">
            <w:pPr>
              <w:spacing w:line="259" w:lineRule="auto"/>
              <w:rPr>
                <w:rFonts w:eastAsiaTheme="minorEastAsia"/>
              </w:rPr>
            </w:pPr>
          </w:p>
          <w:p w14:paraId="33A2EBD8" w14:textId="67A4C13C" w:rsidR="39D4AB90" w:rsidRPr="001B5E2E" w:rsidRDefault="39D4AB90" w:rsidP="698340C4">
            <w:pPr>
              <w:spacing w:line="259" w:lineRule="auto"/>
              <w:rPr>
                <w:rFonts w:eastAsiaTheme="minorEastAsia"/>
              </w:rPr>
            </w:pPr>
          </w:p>
          <w:p w14:paraId="18583932" w14:textId="372DA0ED" w:rsidR="39D4AB90" w:rsidRPr="001B5E2E" w:rsidRDefault="39D4AB90" w:rsidP="698340C4">
            <w:pPr>
              <w:spacing w:line="259" w:lineRule="auto"/>
              <w:rPr>
                <w:rFonts w:eastAsiaTheme="minorEastAsia"/>
              </w:rPr>
            </w:pPr>
            <w:r w:rsidRPr="001B5E2E">
              <w:rPr>
                <w:rFonts w:eastAsiaTheme="minorEastAsia"/>
                <w:lang w:val="en-AU"/>
              </w:rPr>
              <w:t>…………………………………………………….</w:t>
            </w:r>
          </w:p>
          <w:p w14:paraId="4C7D42C2" w14:textId="77777777" w:rsidR="001B5E2E" w:rsidRPr="001B5E2E" w:rsidRDefault="001B5E2E" w:rsidP="001B5E2E">
            <w:pPr>
              <w:spacing w:line="259" w:lineRule="auto"/>
              <w:rPr>
                <w:rFonts w:eastAsiaTheme="minorEastAsia"/>
                <w:lang w:val="en-AU"/>
              </w:rPr>
            </w:pPr>
            <w:r w:rsidRPr="001B5E2E">
              <w:rPr>
                <w:rFonts w:eastAsiaTheme="minorEastAsia"/>
                <w:lang w:val="en-AU"/>
              </w:rPr>
              <w:t>Gary Moore</w:t>
            </w:r>
          </w:p>
          <w:p w14:paraId="2FD64102" w14:textId="3A0B16F7" w:rsidR="39D4AB90" w:rsidRPr="001B5E2E" w:rsidRDefault="001B5E2E" w:rsidP="698340C4">
            <w:pPr>
              <w:spacing w:line="259" w:lineRule="auto"/>
              <w:rPr>
                <w:rFonts w:eastAsiaTheme="minorEastAsia"/>
              </w:rPr>
            </w:pPr>
            <w:r w:rsidRPr="001B5E2E">
              <w:rPr>
                <w:rFonts w:eastAsiaTheme="minorEastAsia"/>
                <w:lang w:val="en-AU"/>
              </w:rPr>
              <w:t>Trustee</w:t>
            </w:r>
          </w:p>
          <w:p w14:paraId="25FCA101" w14:textId="5B07C492" w:rsidR="39D4AB90" w:rsidRPr="001B5E2E" w:rsidRDefault="39D4AB90" w:rsidP="698340C4">
            <w:pPr>
              <w:spacing w:line="259" w:lineRule="auto"/>
              <w:rPr>
                <w:rFonts w:eastAsiaTheme="minorEastAsia"/>
              </w:rPr>
            </w:pPr>
          </w:p>
          <w:p w14:paraId="490118B6" w14:textId="7074A798" w:rsidR="39D4AB90" w:rsidRPr="001B5E2E" w:rsidRDefault="39D4AB90" w:rsidP="698340C4">
            <w:pPr>
              <w:spacing w:line="259" w:lineRule="auto"/>
              <w:rPr>
                <w:rFonts w:eastAsiaTheme="minorEastAsia"/>
              </w:rPr>
            </w:pPr>
          </w:p>
          <w:p w14:paraId="34CE38F5" w14:textId="5F04619D" w:rsidR="39D4AB90" w:rsidRPr="001B5E2E" w:rsidRDefault="39D4AB90" w:rsidP="698340C4">
            <w:pPr>
              <w:spacing w:line="259" w:lineRule="auto"/>
              <w:rPr>
                <w:rFonts w:eastAsiaTheme="minorEastAsia"/>
              </w:rPr>
            </w:pPr>
            <w:r w:rsidRPr="001B5E2E">
              <w:rPr>
                <w:rFonts w:eastAsiaTheme="minorEastAsia"/>
                <w:lang w:val="en-AU"/>
              </w:rPr>
              <w:t>…………………………………………………….</w:t>
            </w:r>
          </w:p>
          <w:p w14:paraId="6CAC909C" w14:textId="77777777" w:rsidR="001B5E2E" w:rsidRPr="001B5E2E" w:rsidRDefault="001B5E2E" w:rsidP="001B5E2E">
            <w:pPr>
              <w:spacing w:line="259" w:lineRule="auto"/>
              <w:rPr>
                <w:rFonts w:eastAsiaTheme="minorEastAsia"/>
              </w:rPr>
            </w:pPr>
            <w:r w:rsidRPr="001B5E2E">
              <w:rPr>
                <w:rFonts w:eastAsiaTheme="minorEastAsia"/>
                <w:lang w:val="en-AU"/>
              </w:rPr>
              <w:t>Debra Moore</w:t>
            </w:r>
          </w:p>
          <w:p w14:paraId="4CCAA8D3" w14:textId="0F855012" w:rsidR="39D4AB90" w:rsidRPr="001B5E2E" w:rsidRDefault="001B5E2E" w:rsidP="698340C4">
            <w:pPr>
              <w:spacing w:line="259" w:lineRule="auto"/>
              <w:rPr>
                <w:rFonts w:eastAsiaTheme="minorEastAsia"/>
              </w:rPr>
            </w:pPr>
            <w:r w:rsidRPr="001B5E2E">
              <w:rPr>
                <w:rFonts w:eastAsiaTheme="minorEastAsia"/>
                <w:lang w:val="en-AU"/>
              </w:rPr>
              <w:t>Trustee</w:t>
            </w:r>
          </w:p>
          <w:p w14:paraId="3F3CA9CE" w14:textId="087B6284" w:rsidR="39D4AB90" w:rsidRPr="001B5E2E" w:rsidRDefault="39D4AB90" w:rsidP="698340C4">
            <w:pPr>
              <w:spacing w:line="259" w:lineRule="auto"/>
              <w:rPr>
                <w:rFonts w:eastAsiaTheme="minorEastAsia"/>
              </w:rPr>
            </w:pPr>
          </w:p>
          <w:p w14:paraId="30E1C747" w14:textId="1393DAE0" w:rsidR="39D4AB90" w:rsidRPr="001B5E2E" w:rsidRDefault="39D4AB90" w:rsidP="698340C4">
            <w:pPr>
              <w:spacing w:line="259" w:lineRule="auto"/>
              <w:rPr>
                <w:rFonts w:eastAsiaTheme="minorEastAsia"/>
              </w:rPr>
            </w:pPr>
          </w:p>
          <w:p w14:paraId="13BFC1A5" w14:textId="7716A8B1" w:rsidR="39D4AB90" w:rsidRDefault="39D4AB90" w:rsidP="001B5E2E">
            <w:pPr>
              <w:spacing w:line="259" w:lineRule="auto"/>
              <w:rPr>
                <w:rFonts w:eastAsiaTheme="minorEastAsia"/>
              </w:rPr>
            </w:pPr>
            <w:r w:rsidRPr="001B5E2E">
              <w:rPr>
                <w:rFonts w:eastAsiaTheme="minorEastAsia"/>
                <w:lang w:val="en-AU"/>
              </w:rPr>
              <w:t xml:space="preserve">Dated: </w:t>
            </w:r>
            <w:r w:rsidR="001B5E2E" w:rsidRPr="001B5E2E">
              <w:rPr>
                <w:rFonts w:eastAsiaTheme="minorEastAsia"/>
                <w:lang w:val="en-AU"/>
              </w:rPr>
              <w:t>09 / 03 / 2023</w:t>
            </w:r>
          </w:p>
        </w:tc>
      </w:tr>
    </w:tbl>
    <w:p w14:paraId="5E5787A5" w14:textId="1D4A6339" w:rsidR="009F17E7" w:rsidRDefault="009F17E7" w:rsidP="39D4AB90"/>
    <w:sectPr w:rsidR="009F17E7">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2DBD1"/>
    <w:multiLevelType w:val="hybridMultilevel"/>
    <w:tmpl w:val="8C8A2C88"/>
    <w:lvl w:ilvl="0" w:tplc="A7BA068E">
      <w:start w:val="1"/>
      <w:numFmt w:val="bullet"/>
      <w:lvlText w:val=""/>
      <w:lvlJc w:val="left"/>
      <w:pPr>
        <w:ind w:left="720" w:hanging="360"/>
      </w:pPr>
      <w:rPr>
        <w:rFonts w:ascii="Symbol" w:hAnsi="Symbol" w:hint="default"/>
      </w:rPr>
    </w:lvl>
    <w:lvl w:ilvl="1" w:tplc="C1EC1736">
      <w:start w:val="1"/>
      <w:numFmt w:val="bullet"/>
      <w:lvlText w:val="o"/>
      <w:lvlJc w:val="left"/>
      <w:pPr>
        <w:ind w:left="1440" w:hanging="360"/>
      </w:pPr>
      <w:rPr>
        <w:rFonts w:ascii="Courier New" w:hAnsi="Courier New" w:hint="default"/>
      </w:rPr>
    </w:lvl>
    <w:lvl w:ilvl="2" w:tplc="F59873BE">
      <w:start w:val="1"/>
      <w:numFmt w:val="bullet"/>
      <w:lvlText w:val=""/>
      <w:lvlJc w:val="left"/>
      <w:pPr>
        <w:ind w:left="2160" w:hanging="360"/>
      </w:pPr>
      <w:rPr>
        <w:rFonts w:ascii="Wingdings" w:hAnsi="Wingdings" w:hint="default"/>
      </w:rPr>
    </w:lvl>
    <w:lvl w:ilvl="3" w:tplc="E3A00C1A">
      <w:start w:val="1"/>
      <w:numFmt w:val="bullet"/>
      <w:lvlText w:val=""/>
      <w:lvlJc w:val="left"/>
      <w:pPr>
        <w:ind w:left="2880" w:hanging="360"/>
      </w:pPr>
      <w:rPr>
        <w:rFonts w:ascii="Symbol" w:hAnsi="Symbol" w:hint="default"/>
      </w:rPr>
    </w:lvl>
    <w:lvl w:ilvl="4" w:tplc="B46621E8">
      <w:start w:val="1"/>
      <w:numFmt w:val="bullet"/>
      <w:lvlText w:val="o"/>
      <w:lvlJc w:val="left"/>
      <w:pPr>
        <w:ind w:left="3600" w:hanging="360"/>
      </w:pPr>
      <w:rPr>
        <w:rFonts w:ascii="Courier New" w:hAnsi="Courier New" w:hint="default"/>
      </w:rPr>
    </w:lvl>
    <w:lvl w:ilvl="5" w:tplc="3E3E4F76">
      <w:start w:val="1"/>
      <w:numFmt w:val="bullet"/>
      <w:lvlText w:val=""/>
      <w:lvlJc w:val="left"/>
      <w:pPr>
        <w:ind w:left="4320" w:hanging="360"/>
      </w:pPr>
      <w:rPr>
        <w:rFonts w:ascii="Wingdings" w:hAnsi="Wingdings" w:hint="default"/>
      </w:rPr>
    </w:lvl>
    <w:lvl w:ilvl="6" w:tplc="BA3E737A">
      <w:start w:val="1"/>
      <w:numFmt w:val="bullet"/>
      <w:lvlText w:val=""/>
      <w:lvlJc w:val="left"/>
      <w:pPr>
        <w:ind w:left="5040" w:hanging="360"/>
      </w:pPr>
      <w:rPr>
        <w:rFonts w:ascii="Symbol" w:hAnsi="Symbol" w:hint="default"/>
      </w:rPr>
    </w:lvl>
    <w:lvl w:ilvl="7" w:tplc="6B368A9A">
      <w:start w:val="1"/>
      <w:numFmt w:val="bullet"/>
      <w:lvlText w:val="o"/>
      <w:lvlJc w:val="left"/>
      <w:pPr>
        <w:ind w:left="5760" w:hanging="360"/>
      </w:pPr>
      <w:rPr>
        <w:rFonts w:ascii="Courier New" w:hAnsi="Courier New" w:hint="default"/>
      </w:rPr>
    </w:lvl>
    <w:lvl w:ilvl="8" w:tplc="9AF63716">
      <w:start w:val="1"/>
      <w:numFmt w:val="bullet"/>
      <w:lvlText w:val=""/>
      <w:lvlJc w:val="left"/>
      <w:pPr>
        <w:ind w:left="6480" w:hanging="360"/>
      </w:pPr>
      <w:rPr>
        <w:rFonts w:ascii="Wingdings" w:hAnsi="Wingdings" w:hint="default"/>
      </w:rPr>
    </w:lvl>
  </w:abstractNum>
  <w:abstractNum w:abstractNumId="1" w15:restartNumberingAfterBreak="0">
    <w:nsid w:val="0695404E"/>
    <w:multiLevelType w:val="hybridMultilevel"/>
    <w:tmpl w:val="DA627C00"/>
    <w:lvl w:ilvl="0" w:tplc="B27A862E">
      <w:start w:val="1"/>
      <w:numFmt w:val="bullet"/>
      <w:lvlText w:val=""/>
      <w:lvlJc w:val="left"/>
      <w:pPr>
        <w:ind w:left="720" w:hanging="360"/>
      </w:pPr>
      <w:rPr>
        <w:rFonts w:ascii="Symbol" w:hAnsi="Symbol" w:hint="default"/>
      </w:rPr>
    </w:lvl>
    <w:lvl w:ilvl="1" w:tplc="0532955A">
      <w:start w:val="1"/>
      <w:numFmt w:val="bullet"/>
      <w:lvlText w:val="o"/>
      <w:lvlJc w:val="left"/>
      <w:pPr>
        <w:ind w:left="1440" w:hanging="360"/>
      </w:pPr>
      <w:rPr>
        <w:rFonts w:ascii="Courier New" w:hAnsi="Courier New" w:hint="default"/>
      </w:rPr>
    </w:lvl>
    <w:lvl w:ilvl="2" w:tplc="0FE078C4">
      <w:start w:val="1"/>
      <w:numFmt w:val="bullet"/>
      <w:lvlText w:val=""/>
      <w:lvlJc w:val="left"/>
      <w:pPr>
        <w:ind w:left="2160" w:hanging="360"/>
      </w:pPr>
      <w:rPr>
        <w:rFonts w:ascii="Wingdings" w:hAnsi="Wingdings" w:hint="default"/>
      </w:rPr>
    </w:lvl>
    <w:lvl w:ilvl="3" w:tplc="7228C168">
      <w:start w:val="1"/>
      <w:numFmt w:val="bullet"/>
      <w:lvlText w:val=""/>
      <w:lvlJc w:val="left"/>
      <w:pPr>
        <w:ind w:left="2880" w:hanging="360"/>
      </w:pPr>
      <w:rPr>
        <w:rFonts w:ascii="Symbol" w:hAnsi="Symbol" w:hint="default"/>
      </w:rPr>
    </w:lvl>
    <w:lvl w:ilvl="4" w:tplc="36469BB0">
      <w:start w:val="1"/>
      <w:numFmt w:val="bullet"/>
      <w:lvlText w:val="o"/>
      <w:lvlJc w:val="left"/>
      <w:pPr>
        <w:ind w:left="3600" w:hanging="360"/>
      </w:pPr>
      <w:rPr>
        <w:rFonts w:ascii="Courier New" w:hAnsi="Courier New" w:hint="default"/>
      </w:rPr>
    </w:lvl>
    <w:lvl w:ilvl="5" w:tplc="4D60AE38">
      <w:start w:val="1"/>
      <w:numFmt w:val="bullet"/>
      <w:lvlText w:val=""/>
      <w:lvlJc w:val="left"/>
      <w:pPr>
        <w:ind w:left="4320" w:hanging="360"/>
      </w:pPr>
      <w:rPr>
        <w:rFonts w:ascii="Wingdings" w:hAnsi="Wingdings" w:hint="default"/>
      </w:rPr>
    </w:lvl>
    <w:lvl w:ilvl="6" w:tplc="2B5AA5C8">
      <w:start w:val="1"/>
      <w:numFmt w:val="bullet"/>
      <w:lvlText w:val=""/>
      <w:lvlJc w:val="left"/>
      <w:pPr>
        <w:ind w:left="5040" w:hanging="360"/>
      </w:pPr>
      <w:rPr>
        <w:rFonts w:ascii="Symbol" w:hAnsi="Symbol" w:hint="default"/>
      </w:rPr>
    </w:lvl>
    <w:lvl w:ilvl="7" w:tplc="52EEE504">
      <w:start w:val="1"/>
      <w:numFmt w:val="bullet"/>
      <w:lvlText w:val="o"/>
      <w:lvlJc w:val="left"/>
      <w:pPr>
        <w:ind w:left="5760" w:hanging="360"/>
      </w:pPr>
      <w:rPr>
        <w:rFonts w:ascii="Courier New" w:hAnsi="Courier New" w:hint="default"/>
      </w:rPr>
    </w:lvl>
    <w:lvl w:ilvl="8" w:tplc="6C3A6010">
      <w:start w:val="1"/>
      <w:numFmt w:val="bullet"/>
      <w:lvlText w:val=""/>
      <w:lvlJc w:val="left"/>
      <w:pPr>
        <w:ind w:left="6480" w:hanging="360"/>
      </w:pPr>
      <w:rPr>
        <w:rFonts w:ascii="Wingdings" w:hAnsi="Wingdings" w:hint="default"/>
      </w:rPr>
    </w:lvl>
  </w:abstractNum>
  <w:num w:numId="1" w16cid:durableId="133061735">
    <w:abstractNumId w:val="1"/>
  </w:num>
  <w:num w:numId="2" w16cid:durableId="4541755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2F4CDCB"/>
    <w:rsid w:val="001B5E2E"/>
    <w:rsid w:val="00464F9C"/>
    <w:rsid w:val="005E52B5"/>
    <w:rsid w:val="009E29B7"/>
    <w:rsid w:val="009F17E7"/>
    <w:rsid w:val="023FA1B1"/>
    <w:rsid w:val="03DB7212"/>
    <w:rsid w:val="0D832939"/>
    <w:rsid w:val="0E88E24C"/>
    <w:rsid w:val="16E4D727"/>
    <w:rsid w:val="18886CD5"/>
    <w:rsid w:val="1A1C77E9"/>
    <w:rsid w:val="1B139F73"/>
    <w:rsid w:val="1BC035D0"/>
    <w:rsid w:val="1BC91B0D"/>
    <w:rsid w:val="1C2089C8"/>
    <w:rsid w:val="200DA71F"/>
    <w:rsid w:val="20BEDE0D"/>
    <w:rsid w:val="222F7754"/>
    <w:rsid w:val="24FE49B8"/>
    <w:rsid w:val="255F9ACA"/>
    <w:rsid w:val="26FB6B2B"/>
    <w:rsid w:val="29B69A40"/>
    <w:rsid w:val="2E010F0C"/>
    <w:rsid w:val="2FFA4003"/>
    <w:rsid w:val="31961064"/>
    <w:rsid w:val="32F4CDCB"/>
    <w:rsid w:val="32F6CE9F"/>
    <w:rsid w:val="3413612F"/>
    <w:rsid w:val="357D3BE0"/>
    <w:rsid w:val="394BAF39"/>
    <w:rsid w:val="39D4AB90"/>
    <w:rsid w:val="3E62E85B"/>
    <w:rsid w:val="3E8E1F75"/>
    <w:rsid w:val="418160C0"/>
    <w:rsid w:val="4182CD19"/>
    <w:rsid w:val="4B416B63"/>
    <w:rsid w:val="4B6D775E"/>
    <w:rsid w:val="4DB3E5DE"/>
    <w:rsid w:val="50414D28"/>
    <w:rsid w:val="5197848A"/>
    <w:rsid w:val="580EB394"/>
    <w:rsid w:val="5DC0DF2D"/>
    <w:rsid w:val="6349E8EF"/>
    <w:rsid w:val="698340C4"/>
    <w:rsid w:val="6CF84881"/>
    <w:rsid w:val="6E17428E"/>
    <w:rsid w:val="716AD8CC"/>
    <w:rsid w:val="72A6543A"/>
    <w:rsid w:val="759A2CFD"/>
    <w:rsid w:val="795CC254"/>
    <w:rsid w:val="7AB1661F"/>
    <w:rsid w:val="7BE3F8E3"/>
    <w:rsid w:val="7CFD31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F4CDCB"/>
  <w15:chartTrackingRefBased/>
  <w15:docId w15:val="{B25B3E36-2036-44A6-AEDD-56CC065D6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5947268ED8DE4E8C3C0C60AC0BDC52" ma:contentTypeVersion="15" ma:contentTypeDescription="Create a new document." ma:contentTypeScope="" ma:versionID="1502f8eb40ac21d2bb52c8e8317d8d71">
  <xsd:schema xmlns:xsd="http://www.w3.org/2001/XMLSchema" xmlns:xs="http://www.w3.org/2001/XMLSchema" xmlns:p="http://schemas.microsoft.com/office/2006/metadata/properties" xmlns:ns2="171baf46-e54f-4960-9045-6796342ce211" xmlns:ns3="929daec0-3f85-4f7a-9798-63894498ffdd" targetNamespace="http://schemas.microsoft.com/office/2006/metadata/properties" ma:root="true" ma:fieldsID="1a02e04d2ccf5e55204be570b98f0160" ns2:_="" ns3:_="">
    <xsd:import namespace="171baf46-e54f-4960-9045-6796342ce211"/>
    <xsd:import namespace="929daec0-3f85-4f7a-9798-63894498ffd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1baf46-e54f-4960-9045-6796342ce2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7b60950-52b2-48e1-8500-f9c3f8bf5d2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29daec0-3f85-4f7a-9798-63894498ffd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7b43c88-df1a-4660-93c9-ad59f2a0c450}" ma:internalName="TaxCatchAll" ma:showField="CatchAllData" ma:web="929daec0-3f85-4f7a-9798-63894498ffd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29daec0-3f85-4f7a-9798-63894498ffdd" xsi:nil="true"/>
    <lcf76f155ced4ddcb4097134ff3c332f xmlns="171baf46-e54f-4960-9045-6796342ce21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3EBBAE-2335-4170-B98B-76ED426D62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1baf46-e54f-4960-9045-6796342ce211"/>
    <ds:schemaRef ds:uri="929daec0-3f85-4f7a-9798-63894498ff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12A99C-B687-4957-9E6F-D472963136F0}">
  <ds:schemaRefs>
    <ds:schemaRef ds:uri="http://purl.org/dc/terms/"/>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http://purl.org/dc/dcmitype/"/>
    <ds:schemaRef ds:uri="http://www.w3.org/XML/1998/namespace"/>
    <ds:schemaRef ds:uri="929daec0-3f85-4f7a-9798-63894498ffdd"/>
    <ds:schemaRef ds:uri="171baf46-e54f-4960-9045-6796342ce211"/>
    <ds:schemaRef ds:uri="http://purl.org/dc/elements/1.1/"/>
  </ds:schemaRefs>
</ds:datastoreItem>
</file>

<file path=customXml/itemProps3.xml><?xml version="1.0" encoding="utf-8"?>
<ds:datastoreItem xmlns:ds="http://schemas.openxmlformats.org/officeDocument/2006/customXml" ds:itemID="{DBCDEE1F-647C-4F74-93D4-7D4B1882E9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205</Words>
  <Characters>1170</Characters>
  <Application>Microsoft Office Word</Application>
  <DocSecurity>0</DocSecurity>
  <Lines>9</Lines>
  <Paragraphs>2</Paragraphs>
  <ScaleCrop>false</ScaleCrop>
  <Company/>
  <LinksUpToDate>false</LinksUpToDate>
  <CharactersWithSpaces>1373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Danielle Barrow</dc:creator>
  <cp:keywords/>
  <dc:description/>
  <cp:lastModifiedBy>Cate Morse</cp:lastModifiedBy>
  <cp:revision>8</cp:revision>
  <dcterms:created xsi:type="dcterms:W3CDTF">2022-08-18T03:09:00Z</dcterms:created>
  <dcterms:modified xsi:type="dcterms:W3CDTF">2023-03-09T04:26:00Z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0x010100805947268ED8DE4E8C3C0C60AC0BDC52</vt:lpwstr>
  </property>
  <property fmtid="{D5CDD505-2E9C-101B-9397-08002B2CF9AE}" pid="3" name="MediaServiceImageTags">
    <vt:lpwstr/>
  </property>
</Properties>
</file>