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58B7D" w14:textId="77777777" w:rsidR="008878E5" w:rsidRPr="008878E5" w:rsidRDefault="008878E5">
      <w:pPr>
        <w:rPr>
          <w:sz w:val="10"/>
          <w:szCs w:val="10"/>
        </w:r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0"/>
        <w:gridCol w:w="6548"/>
      </w:tblGrid>
      <w:tr w:rsidR="006E6276" w14:paraId="47C31287" w14:textId="77777777" w:rsidTr="00CA485C">
        <w:tc>
          <w:tcPr>
            <w:tcW w:w="3800" w:type="dxa"/>
          </w:tcPr>
          <w:p w14:paraId="7E146465" w14:textId="2C5971EA" w:rsidR="006E6276" w:rsidRPr="00427F35" w:rsidRDefault="00BB55D2" w:rsidP="00427F3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27F35">
              <w:rPr>
                <w:rFonts w:ascii="Helvetica" w:hAnsi="Helvetica"/>
                <w:b/>
                <w:bCs/>
                <w:color w:val="000000"/>
                <w:sz w:val="18"/>
                <w:szCs w:val="18"/>
                <w:lang w:val="en-US"/>
              </w:rPr>
              <w:t>CONFIRMATION OF PENSION ESTABLISHMENT:</w:t>
            </w:r>
          </w:p>
        </w:tc>
        <w:tc>
          <w:tcPr>
            <w:tcW w:w="6548" w:type="dxa"/>
          </w:tcPr>
          <w:p w14:paraId="3C701441" w14:textId="5D0614F1" w:rsidR="006E6276" w:rsidRDefault="006E6276" w:rsidP="00427F3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Trustees</w:t>
            </w:r>
            <w:r w:rsidR="00BB55D2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acknowledge that </w:t>
            </w:r>
            <w:r w:rsidR="00427F35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both Graham &amp; Marilyn Bates</w:t>
            </w:r>
            <w:r w:rsidR="00BB55D2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commenced pensions prior to the 2016 financial year </w:t>
            </w:r>
            <w:r w:rsidR="00427F35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however due to a change to the super fund’s tax agent in 2017, the original pension establishment documents </w:t>
            </w:r>
            <w:r w:rsidR="00D91BB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were not provided to the Trustees or the new tax agent and </w:t>
            </w:r>
            <w:r w:rsidR="00427F35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have </w:t>
            </w:r>
            <w:r w:rsidR="00D91BB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therefore </w:t>
            </w:r>
            <w:r w:rsidR="00427F35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been </w:t>
            </w:r>
            <w:r w:rsidR="00D91BB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lost</w:t>
            </w:r>
            <w:r w:rsidR="00427F35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14:paraId="1EF52BC5" w14:textId="3E9CF0EB" w:rsidR="00427F35" w:rsidRDefault="00427F35" w:rsidP="00427F3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bookmarkStart w:id="0" w:name="_GoBack"/>
            <w:bookmarkEnd w:id="0"/>
          </w:p>
          <w:p w14:paraId="25D344BC" w14:textId="32532469" w:rsidR="00427F35" w:rsidRDefault="00CA2E91" w:rsidP="00427F3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Trustees have perused the fund’s Trust Deed dated 10 January 2008 and note that Clause 12 of the deed provides for the payment of Account Based Pensions.</w:t>
            </w:r>
          </w:p>
          <w:p w14:paraId="6CDC9329" w14:textId="77777777" w:rsidR="00427F35" w:rsidRDefault="00427F35" w:rsidP="00427F3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6F5C6CB3" w14:textId="44604AA0" w:rsidR="00427F35" w:rsidRPr="00427F35" w:rsidRDefault="00427F35" w:rsidP="00427F3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Trustees wish to confirm the terms of the pensions as follows:</w:t>
            </w:r>
          </w:p>
        </w:tc>
      </w:tr>
      <w:tr w:rsidR="006E6276" w14:paraId="71E7D290" w14:textId="77777777" w:rsidTr="00CA485C">
        <w:tc>
          <w:tcPr>
            <w:tcW w:w="3800" w:type="dxa"/>
          </w:tcPr>
          <w:p w14:paraId="21AA967E" w14:textId="77777777" w:rsidR="006E6276" w:rsidRDefault="006E6276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</w:p>
        </w:tc>
        <w:tc>
          <w:tcPr>
            <w:tcW w:w="6548" w:type="dxa"/>
          </w:tcPr>
          <w:p w14:paraId="285C2442" w14:textId="77777777" w:rsidR="006E6276" w:rsidRPr="00464C29" w:rsidRDefault="006E6276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49A3F46B" w14:textId="77777777" w:rsidTr="00CA485C">
        <w:tc>
          <w:tcPr>
            <w:tcW w:w="3800" w:type="dxa"/>
          </w:tcPr>
          <w:p w14:paraId="4A44ECFD" w14:textId="77777777" w:rsidR="007A0DFE" w:rsidRDefault="00D31689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6548" w:type="dxa"/>
          </w:tcPr>
          <w:p w14:paraId="514470B0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2C5DC148" w14:textId="77777777" w:rsidTr="00CA485C">
        <w:tc>
          <w:tcPr>
            <w:tcW w:w="3800" w:type="dxa"/>
          </w:tcPr>
          <w:p w14:paraId="31E4769A" w14:textId="59367D3C" w:rsidR="00DA05F9" w:rsidRPr="00DA05F9" w:rsidRDefault="00DA05F9" w:rsidP="00DA05F9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PENSION TERMS – GRAHAM</w:t>
            </w:r>
            <w:r w:rsidR="00BB55D2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 xml:space="preserve"> BATES:</w:t>
            </w:r>
          </w:p>
        </w:tc>
        <w:tc>
          <w:tcPr>
            <w:tcW w:w="6548" w:type="dxa"/>
          </w:tcPr>
          <w:p w14:paraId="5E1F2AF8" w14:textId="0201A378" w:rsidR="00427F35" w:rsidRDefault="00427F35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Graham has reached his preservation age and has satisfied a condition of release under the SIS Act.</w:t>
            </w:r>
          </w:p>
          <w:p w14:paraId="2AD6EA80" w14:textId="77777777" w:rsidR="00427F35" w:rsidRDefault="00427F35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3337A3F" w14:textId="6CC05DAF" w:rsidR="006E6276" w:rsidRDefault="00B57C25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Graham commenced an account-based pension which consisted of:</w:t>
            </w:r>
          </w:p>
          <w:p w14:paraId="085893CD" w14:textId="77777777" w:rsidR="006E6276" w:rsidRDefault="006E6276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2D9C7CCA" w14:textId="4412970B" w:rsidR="00D3487E" w:rsidRDefault="00B57C25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    </w:t>
            </w:r>
            <w:r w:rsidR="006E6276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Taxable component </w:t>
            </w:r>
            <w:r w:rsidR="006E6276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–</w:t>
            </w:r>
            <w:r w:rsidR="006E6276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0%</w:t>
            </w:r>
          </w:p>
          <w:p w14:paraId="44C94593" w14:textId="07198507" w:rsidR="006E6276" w:rsidRDefault="00B57C25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    </w:t>
            </w:r>
            <w:r w:rsidR="006E6276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Tax Free component </w:t>
            </w:r>
            <w:r w:rsidR="006E6276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–</w:t>
            </w:r>
            <w:r w:rsidR="006E6276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100%</w:t>
            </w:r>
          </w:p>
          <w:p w14:paraId="766030A8" w14:textId="4D0E9882" w:rsidR="006E6276" w:rsidRDefault="006E6276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5E0FBF27" w14:textId="77777777" w:rsidR="006E6276" w:rsidRDefault="006E6276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It is confirmed that the pension balance will automatically revert to Marilyn </w:t>
            </w:r>
            <w:r w:rsidR="00BB55D2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Shirley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Bates upon the death of the member.</w:t>
            </w:r>
          </w:p>
          <w:p w14:paraId="36BA1053" w14:textId="77777777" w:rsidR="00427F35" w:rsidRDefault="00427F35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24A6C199" w14:textId="5A4AEF2D" w:rsidR="00427F35" w:rsidRPr="00B57C25" w:rsidRDefault="00427F35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Graham has agreed to withdraw at least the minimum pension each year.</w:t>
            </w:r>
          </w:p>
        </w:tc>
      </w:tr>
      <w:tr w:rsidR="00D3487E" w:rsidRPr="00DC70C0" w14:paraId="58AC229C" w14:textId="77777777" w:rsidTr="00CA485C">
        <w:tc>
          <w:tcPr>
            <w:tcW w:w="3800" w:type="dxa"/>
          </w:tcPr>
          <w:p w14:paraId="23CCB190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7EC4A2F2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77F4783D" w14:textId="77777777" w:rsidTr="00CA485C">
        <w:tc>
          <w:tcPr>
            <w:tcW w:w="3800" w:type="dxa"/>
          </w:tcPr>
          <w:p w14:paraId="5EB8AEE2" w14:textId="1A6F39BF" w:rsidR="00D3487E" w:rsidRPr="00720E16" w:rsidRDefault="00DA05F9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 xml:space="preserve">PENSION TERMS </w:t>
            </w: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–</w:t>
            </w: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MARILYN</w:t>
            </w:r>
            <w:r w:rsidR="00BB55D2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 xml:space="preserve"> BATES:</w:t>
            </w:r>
          </w:p>
        </w:tc>
        <w:tc>
          <w:tcPr>
            <w:tcW w:w="6548" w:type="dxa"/>
          </w:tcPr>
          <w:p w14:paraId="00209F6F" w14:textId="345E0244" w:rsidR="00427F35" w:rsidRDefault="00427F35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Marilyn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has reached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her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preservation age and has satisfied a condition of release under the SIS Act.</w:t>
            </w:r>
          </w:p>
          <w:p w14:paraId="1DA556D7" w14:textId="77777777" w:rsidR="00427F35" w:rsidRDefault="00427F35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94D3840" w14:textId="7E910CCF" w:rsidR="00B57C25" w:rsidRDefault="00B57C25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Marilyn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commenced an account-based pension which consisted of:</w:t>
            </w:r>
          </w:p>
          <w:p w14:paraId="2273E471" w14:textId="77777777" w:rsidR="00B57C25" w:rsidRDefault="00B57C25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530F79D3" w14:textId="77777777" w:rsidR="00B57C25" w:rsidRDefault="00B57C25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    Taxable component – 0%</w:t>
            </w:r>
          </w:p>
          <w:p w14:paraId="13C16507" w14:textId="77777777" w:rsidR="00B57C25" w:rsidRDefault="00B57C25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    Tax Free component – 100%</w:t>
            </w:r>
          </w:p>
          <w:p w14:paraId="7D4D7B0E" w14:textId="77777777" w:rsidR="00B57C25" w:rsidRDefault="00B57C25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D55A57A" w14:textId="77777777" w:rsidR="00D3487E" w:rsidRDefault="00B57C25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It is confirmed that the pension balance will automatically revert to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Graham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="00BB55D2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George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Bates upon the death of the member.</w:t>
            </w:r>
          </w:p>
          <w:p w14:paraId="57C7C0CD" w14:textId="77777777" w:rsidR="00427F35" w:rsidRDefault="00427F35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6E1A09BD" w14:textId="36A84AC5" w:rsidR="00427F35" w:rsidRPr="00464C29" w:rsidRDefault="00427F35" w:rsidP="00B57C25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Marilyn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has agreed to withdraw at least the minimum pension each year.</w:t>
            </w:r>
          </w:p>
        </w:tc>
      </w:tr>
      <w:tr w:rsidR="00D3487E" w:rsidRPr="00DC70C0" w14:paraId="4A3CEF2F" w14:textId="77777777" w:rsidTr="00CA485C">
        <w:tc>
          <w:tcPr>
            <w:tcW w:w="3800" w:type="dxa"/>
          </w:tcPr>
          <w:p w14:paraId="78B5C19B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       </w:t>
            </w:r>
          </w:p>
        </w:tc>
        <w:tc>
          <w:tcPr>
            <w:tcW w:w="6548" w:type="dxa"/>
          </w:tcPr>
          <w:p w14:paraId="6FD1447A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53B0EFA4" w14:textId="77777777" w:rsidTr="00CA485C">
        <w:tc>
          <w:tcPr>
            <w:tcW w:w="3800" w:type="dxa"/>
          </w:tcPr>
          <w:p w14:paraId="1EB0C973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548" w:type="dxa"/>
          </w:tcPr>
          <w:p w14:paraId="7C4F8003" w14:textId="7DE9A418" w:rsidR="00D3487E" w:rsidRDefault="00D3487E" w:rsidP="006E6276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14:paraId="0749226F" w14:textId="77777777" w:rsidR="006E6276" w:rsidRPr="00464C29" w:rsidRDefault="006E6276" w:rsidP="006E6276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10EEF2B2" w14:textId="77777777" w:rsidR="00D3487E" w:rsidRPr="00464C29" w:rsidRDefault="00D3487E" w:rsidP="007D1827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39E15707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14D48282" w14:textId="77777777" w:rsidR="00AF637A" w:rsidRPr="00464C29" w:rsidRDefault="00D3487E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30A7058F" w14:textId="1764B2B3" w:rsidR="00D3487E" w:rsidRPr="00BD024E" w:rsidRDefault="004C2A82" w:rsidP="00B57C25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Graham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Bates</w:t>
            </w:r>
            <w:r w:rsidR="00D3487E"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128CFC52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45B88033" w14:textId="77777777" w:rsidR="00AF637A" w:rsidRPr="00464C29" w:rsidRDefault="00D3487E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21FF2165" w14:textId="5CC209B6" w:rsidR="00D3487E" w:rsidRPr="00BD024E" w:rsidRDefault="004C2A82" w:rsidP="006E6276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Marilyn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Bates</w:t>
            </w:r>
          </w:p>
        </w:tc>
      </w:tr>
    </w:tbl>
    <w:p w14:paraId="45E63926" w14:textId="77777777" w:rsidR="00C02081" w:rsidRPr="00BD024E" w:rsidRDefault="00C02081" w:rsidP="00BD024E">
      <w:pPr>
        <w:widowControl w:val="0"/>
        <w:tabs>
          <w:tab w:val="left" w:pos="1005"/>
          <w:tab w:val="left" w:pos="4375"/>
        </w:tabs>
        <w:autoSpaceDE w:val="0"/>
        <w:autoSpaceDN w:val="0"/>
        <w:adjustRightInd w:val="0"/>
        <w:rPr>
          <w:rFonts w:ascii="Helvetica" w:hAnsi="Helvetica"/>
          <w:sz w:val="16"/>
          <w:szCs w:val="16"/>
          <w:u w:val="double"/>
          <w:lang w:val="en-US"/>
        </w:rPr>
      </w:pPr>
    </w:p>
    <w:sectPr w:rsidR="00C02081" w:rsidRPr="00BD024E" w:rsidSect="00B760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624" w:right="301" w:bottom="992" w:left="1021" w:header="478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63375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14:paraId="4FCC1DBC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7B9F3" w14:textId="77777777" w:rsidR="00BD39C5" w:rsidRDefault="00BD39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1A1C3" w14:textId="77777777" w:rsidR="00BD39C5" w:rsidRDefault="00BD39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48E12" w14:textId="77777777" w:rsidR="00BD39C5" w:rsidRDefault="00BD3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3007F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14:paraId="1D285843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913F2" w14:textId="77777777" w:rsidR="00BD39C5" w:rsidRDefault="00BD3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8584"/>
      <w:gridCol w:w="2024"/>
    </w:tblGrid>
    <w:tr w:rsidR="00CA485C" w14:paraId="31FFB862" w14:textId="77777777" w:rsidTr="00BD39C5">
      <w:trPr>
        <w:trHeight w:val="375"/>
      </w:trPr>
      <w:tc>
        <w:tcPr>
          <w:tcW w:w="8584" w:type="dxa"/>
        </w:tcPr>
        <w:p w14:paraId="5CC54554" w14:textId="77777777" w:rsidR="00CA485C" w:rsidRPr="008D147F" w:rsidRDefault="00CA485C" w:rsidP="00A977E6">
          <w:pPr>
            <w:ind w:left="-100" w:right="-772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  <w:r w:rsidRPr="00FA164A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Memorandum of Resolutions of </w:t>
          </w:r>
        </w:p>
      </w:tc>
      <w:tc>
        <w:tcPr>
          <w:tcW w:w="2024" w:type="dxa"/>
          <w:vMerge w:val="restart"/>
        </w:tcPr>
        <w:p w14:paraId="1701900B" w14:textId="77777777" w:rsidR="00CA485C" w:rsidRDefault="00CA485C" w:rsidP="00A977E6">
          <w:pPr>
            <w:ind w:right="-8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 w:eastAsia="zh-CN"/>
            </w:rPr>
            <w:drawing>
              <wp:anchor distT="0" distB="0" distL="114300" distR="114300" simplePos="0" relativeHeight="251658240" behindDoc="0" locked="0" layoutInCell="1" allowOverlap="1" wp14:anchorId="4BF5EA46" wp14:editId="34296123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1752600" cy="981075"/>
                <wp:effectExtent l="0" t="0" r="0" b="0"/>
                <wp:wrapNone/>
                <wp:docPr id="2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600" cy="981075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  <w:bookmarkEnd w:id="1"/>
        </w:p>
      </w:tc>
    </w:tr>
    <w:tr w:rsidR="00CA485C" w14:paraId="779F6B50" w14:textId="77777777" w:rsidTr="00BD39C5">
      <w:trPr>
        <w:trHeight w:val="319"/>
      </w:trPr>
      <w:tc>
        <w:tcPr>
          <w:tcW w:w="8584" w:type="dxa"/>
        </w:tcPr>
        <w:p w14:paraId="3A515EE5" w14:textId="77777777" w:rsidR="00CA485C" w:rsidRPr="00D14A59" w:rsidRDefault="00CA485C" w:rsidP="00A977E6">
          <w:pPr>
            <w:tabs>
              <w:tab w:val="left" w:pos="8244"/>
            </w:tabs>
            <w:ind w:left="-100" w:right="-768"/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</w:pPr>
          <w:r w:rsidRPr="00352608">
            <w:rPr>
              <w:rFonts w:ascii="Helvetica" w:hAnsi="Helvetica"/>
              <w:b/>
              <w:noProof/>
              <w:sz w:val="22"/>
              <w:szCs w:val="22"/>
            </w:rPr>
            <w:t>Graham Bates and Marilyn Bates</w:t>
          </w:r>
          <w:r>
            <w:rPr>
              <w:rFonts w:ascii="Helvetica" w:hAnsi="Helvetica"/>
              <w:b/>
              <w:noProof/>
              <w:sz w:val="22"/>
              <w:szCs w:val="22"/>
            </w:rPr>
            <w:t xml:space="preserve"> </w:t>
          </w:r>
          <w:r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  <w:tab/>
          </w:r>
        </w:p>
      </w:tc>
      <w:tc>
        <w:tcPr>
          <w:tcW w:w="2024" w:type="dxa"/>
          <w:vMerge/>
        </w:tcPr>
        <w:p w14:paraId="5EB2421E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CA485C" w14:paraId="6C81038A" w14:textId="77777777" w:rsidTr="00BD39C5">
      <w:trPr>
        <w:trHeight w:val="236"/>
      </w:trPr>
      <w:tc>
        <w:tcPr>
          <w:tcW w:w="8584" w:type="dxa"/>
        </w:tcPr>
        <w:p w14:paraId="39E4C3EA" w14:textId="77777777" w:rsidR="00CA485C" w:rsidRDefault="00CA485C" w:rsidP="00A977E6">
          <w:pPr>
            <w:tabs>
              <w:tab w:val="left" w:pos="8244"/>
            </w:tabs>
            <w:ind w:left="-100" w:right="-768"/>
          </w:pPr>
          <w:r w:rsidRPr="00352608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ATF </w:t>
          </w:r>
          <w:r w:rsidRPr="00352608">
            <w:rPr>
              <w:rFonts w:ascii="Helvetica" w:hAnsi="Helvetica"/>
              <w:b/>
              <w:noProof/>
            </w:rPr>
            <w:t>G &amp; M Superannuation Fund</w:t>
          </w:r>
        </w:p>
      </w:tc>
      <w:tc>
        <w:tcPr>
          <w:tcW w:w="2024" w:type="dxa"/>
          <w:vMerge/>
        </w:tcPr>
        <w:p w14:paraId="183CB88F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CA485C" w14:paraId="2332C865" w14:textId="77777777" w:rsidTr="00BD39C5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CA485C" w14:paraId="1FB2B3C6" w14:textId="77777777" w:rsidTr="00CA485C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2C71AAD0" w14:textId="77777777" w:rsidR="00CA485C" w:rsidRDefault="00CA485C" w:rsidP="00A977E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25A76DFA" w14:textId="77777777" w:rsidR="00CA485C" w:rsidRPr="00E40F90" w:rsidRDefault="00CA485C" w:rsidP="00A977E6">
          <w:pPr>
            <w:jc w:val="center"/>
            <w:rPr>
              <w:lang w:val="en-US"/>
            </w:rPr>
          </w:pPr>
        </w:p>
      </w:tc>
    </w:tr>
  </w:tbl>
  <w:p w14:paraId="6E3E837C" w14:textId="77777777" w:rsidR="00CA485C" w:rsidRPr="00CA485C" w:rsidRDefault="00CA485C" w:rsidP="00DD3E5D">
    <w:pPr>
      <w:pStyle w:val="Header"/>
      <w:tabs>
        <w:tab w:val="clear" w:pos="4513"/>
        <w:tab w:val="clear" w:pos="9026"/>
        <w:tab w:val="left" w:pos="528"/>
      </w:tabs>
      <w:rPr>
        <w:rFonts w:ascii="Helvetica" w:hAnsi="Helvetica" w:cs="Helvetica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5BD0F" w14:textId="77777777" w:rsidR="00BD39C5" w:rsidRDefault="00BD39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9C5"/>
    <w:rsid w:val="00000E51"/>
    <w:rsid w:val="00032F61"/>
    <w:rsid w:val="000339FA"/>
    <w:rsid w:val="00044E6C"/>
    <w:rsid w:val="00051E29"/>
    <w:rsid w:val="000659E8"/>
    <w:rsid w:val="00081D4E"/>
    <w:rsid w:val="000B71CB"/>
    <w:rsid w:val="000C7ADD"/>
    <w:rsid w:val="000F492C"/>
    <w:rsid w:val="00131AFC"/>
    <w:rsid w:val="00152593"/>
    <w:rsid w:val="00170044"/>
    <w:rsid w:val="00181EF6"/>
    <w:rsid w:val="00182E93"/>
    <w:rsid w:val="001A5F29"/>
    <w:rsid w:val="001C3541"/>
    <w:rsid w:val="00204CD6"/>
    <w:rsid w:val="00213312"/>
    <w:rsid w:val="00260513"/>
    <w:rsid w:val="002A1E0B"/>
    <w:rsid w:val="002A4B09"/>
    <w:rsid w:val="002D7C70"/>
    <w:rsid w:val="002E170F"/>
    <w:rsid w:val="002E6915"/>
    <w:rsid w:val="002F1791"/>
    <w:rsid w:val="002F25F4"/>
    <w:rsid w:val="00300808"/>
    <w:rsid w:val="00326662"/>
    <w:rsid w:val="00352608"/>
    <w:rsid w:val="00357295"/>
    <w:rsid w:val="003A2551"/>
    <w:rsid w:val="003B14FA"/>
    <w:rsid w:val="003E2C35"/>
    <w:rsid w:val="003F2E79"/>
    <w:rsid w:val="003F57A0"/>
    <w:rsid w:val="00427F35"/>
    <w:rsid w:val="0043380B"/>
    <w:rsid w:val="00434F03"/>
    <w:rsid w:val="004635A4"/>
    <w:rsid w:val="00464A4D"/>
    <w:rsid w:val="00464C29"/>
    <w:rsid w:val="00483CDC"/>
    <w:rsid w:val="00491578"/>
    <w:rsid w:val="004A13D0"/>
    <w:rsid w:val="004C2A82"/>
    <w:rsid w:val="004C5E4E"/>
    <w:rsid w:val="004D0446"/>
    <w:rsid w:val="00516200"/>
    <w:rsid w:val="00533A60"/>
    <w:rsid w:val="00547574"/>
    <w:rsid w:val="00553133"/>
    <w:rsid w:val="00573956"/>
    <w:rsid w:val="00575381"/>
    <w:rsid w:val="00582A95"/>
    <w:rsid w:val="005A5B5D"/>
    <w:rsid w:val="005B54B7"/>
    <w:rsid w:val="00611FA9"/>
    <w:rsid w:val="0062021F"/>
    <w:rsid w:val="00624834"/>
    <w:rsid w:val="00635C9F"/>
    <w:rsid w:val="0064490F"/>
    <w:rsid w:val="00665AA4"/>
    <w:rsid w:val="00672AAD"/>
    <w:rsid w:val="00677FC7"/>
    <w:rsid w:val="006E6276"/>
    <w:rsid w:val="006E6618"/>
    <w:rsid w:val="006F2FDC"/>
    <w:rsid w:val="00701AAD"/>
    <w:rsid w:val="00702A82"/>
    <w:rsid w:val="00710B07"/>
    <w:rsid w:val="00720E16"/>
    <w:rsid w:val="00733176"/>
    <w:rsid w:val="007416C3"/>
    <w:rsid w:val="0074203C"/>
    <w:rsid w:val="00744256"/>
    <w:rsid w:val="007606C2"/>
    <w:rsid w:val="00761B7C"/>
    <w:rsid w:val="007A0DFE"/>
    <w:rsid w:val="007D1827"/>
    <w:rsid w:val="007D2874"/>
    <w:rsid w:val="007E6033"/>
    <w:rsid w:val="008137C9"/>
    <w:rsid w:val="00850348"/>
    <w:rsid w:val="00851F10"/>
    <w:rsid w:val="00871606"/>
    <w:rsid w:val="00887063"/>
    <w:rsid w:val="008878E5"/>
    <w:rsid w:val="008B7E1A"/>
    <w:rsid w:val="008C5354"/>
    <w:rsid w:val="00925ACA"/>
    <w:rsid w:val="00930FB1"/>
    <w:rsid w:val="009568B9"/>
    <w:rsid w:val="009A2A38"/>
    <w:rsid w:val="009B297F"/>
    <w:rsid w:val="009D39A7"/>
    <w:rsid w:val="009E0079"/>
    <w:rsid w:val="00A27C33"/>
    <w:rsid w:val="00A36570"/>
    <w:rsid w:val="00A3688C"/>
    <w:rsid w:val="00A5415A"/>
    <w:rsid w:val="00A564F6"/>
    <w:rsid w:val="00A97465"/>
    <w:rsid w:val="00A977E6"/>
    <w:rsid w:val="00AA1B09"/>
    <w:rsid w:val="00AB4198"/>
    <w:rsid w:val="00AB69C5"/>
    <w:rsid w:val="00AF637A"/>
    <w:rsid w:val="00B11E6C"/>
    <w:rsid w:val="00B30FA4"/>
    <w:rsid w:val="00B3106A"/>
    <w:rsid w:val="00B37908"/>
    <w:rsid w:val="00B57C25"/>
    <w:rsid w:val="00B647B5"/>
    <w:rsid w:val="00B7608E"/>
    <w:rsid w:val="00B76239"/>
    <w:rsid w:val="00B86851"/>
    <w:rsid w:val="00B92F58"/>
    <w:rsid w:val="00B93BA5"/>
    <w:rsid w:val="00BA2138"/>
    <w:rsid w:val="00BA643C"/>
    <w:rsid w:val="00BB55D2"/>
    <w:rsid w:val="00BB6926"/>
    <w:rsid w:val="00BC5D3B"/>
    <w:rsid w:val="00BD024E"/>
    <w:rsid w:val="00BD39C5"/>
    <w:rsid w:val="00BD53FE"/>
    <w:rsid w:val="00BE18A1"/>
    <w:rsid w:val="00C02081"/>
    <w:rsid w:val="00C70F6B"/>
    <w:rsid w:val="00C81BC2"/>
    <w:rsid w:val="00C923D9"/>
    <w:rsid w:val="00CA2E91"/>
    <w:rsid w:val="00CA485C"/>
    <w:rsid w:val="00CE1F1E"/>
    <w:rsid w:val="00CE396C"/>
    <w:rsid w:val="00CF1F75"/>
    <w:rsid w:val="00CF50DD"/>
    <w:rsid w:val="00D10041"/>
    <w:rsid w:val="00D30876"/>
    <w:rsid w:val="00D31689"/>
    <w:rsid w:val="00D3487E"/>
    <w:rsid w:val="00D40898"/>
    <w:rsid w:val="00D72D6F"/>
    <w:rsid w:val="00D91BBC"/>
    <w:rsid w:val="00DA05F9"/>
    <w:rsid w:val="00DD3E5D"/>
    <w:rsid w:val="00DE16EF"/>
    <w:rsid w:val="00E25193"/>
    <w:rsid w:val="00E33FE1"/>
    <w:rsid w:val="00E40F90"/>
    <w:rsid w:val="00E460E1"/>
    <w:rsid w:val="00E52FCD"/>
    <w:rsid w:val="00E800A0"/>
    <w:rsid w:val="00E87609"/>
    <w:rsid w:val="00E96B21"/>
    <w:rsid w:val="00EB1628"/>
    <w:rsid w:val="00ED609A"/>
    <w:rsid w:val="00ED6E87"/>
    <w:rsid w:val="00F16352"/>
    <w:rsid w:val="00F67A04"/>
    <w:rsid w:val="00F74504"/>
    <w:rsid w:val="00F82AAD"/>
    <w:rsid w:val="00FA12B3"/>
    <w:rsid w:val="00FA164A"/>
    <w:rsid w:val="00FA549D"/>
    <w:rsid w:val="00FB45EA"/>
    <w:rsid w:val="00FB69B1"/>
    <w:rsid w:val="00FD770E"/>
    <w:rsid w:val="00FE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F900391"/>
  <w15:docId w15:val="{9A6BC1CC-7FE0-48AE-8F80-633CEDBD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40898"/>
  </w:style>
  <w:style w:type="paragraph" w:styleId="Heading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F5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12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2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2AAD"/>
  </w:style>
  <w:style w:type="paragraph" w:styleId="Footer">
    <w:name w:val="footer"/>
    <w:basedOn w:val="Normal"/>
    <w:link w:val="Foot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2AAD"/>
  </w:style>
  <w:style w:type="table" w:customStyle="1" w:styleId="TableGrid1">
    <w:name w:val="Table Grid1"/>
    <w:basedOn w:val="TableNormal"/>
    <w:next w:val="TableGrid"/>
    <w:uiPriority w:val="59"/>
    <w:rsid w:val="00E40F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A0D47-121D-4467-A4B5-EFACDFA13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Chau Le</dc:creator>
  <dc:description>Gnostice eDocEngine V2.5 (www.gnostice.com)</dc:description>
  <cp:lastModifiedBy>Danielle Barrow</cp:lastModifiedBy>
  <cp:revision>3</cp:revision>
  <dcterms:created xsi:type="dcterms:W3CDTF">2020-02-10T01:59:00Z</dcterms:created>
  <dcterms:modified xsi:type="dcterms:W3CDTF">2020-02-10T02:01:00Z</dcterms:modified>
</cp:coreProperties>
</file>