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27F1" w14:textId="77777777" w:rsidR="00D80826" w:rsidRDefault="00D80826" w:rsidP="005949E1">
      <w:pPr>
        <w:ind w:left="2160"/>
        <w:jc w:val="both"/>
        <w:rPr>
          <w:rFonts w:ascii="Arial" w:hAnsi="Arial"/>
          <w:sz w:val="22"/>
        </w:rPr>
      </w:pPr>
    </w:p>
    <w:p w14:paraId="3FED3B44" w14:textId="77777777" w:rsidR="00D80826" w:rsidRDefault="00D80826" w:rsidP="005949E1">
      <w:pPr>
        <w:ind w:left="2160"/>
        <w:jc w:val="both"/>
        <w:rPr>
          <w:rFonts w:ascii="Arial" w:hAnsi="Arial"/>
          <w:sz w:val="22"/>
        </w:rPr>
      </w:pPr>
    </w:p>
    <w:p w14:paraId="0B077D11" w14:textId="77777777" w:rsidR="00D80826" w:rsidRDefault="00D80826" w:rsidP="005949E1">
      <w:pPr>
        <w:ind w:left="2160"/>
        <w:jc w:val="both"/>
        <w:rPr>
          <w:rFonts w:ascii="Arial" w:hAnsi="Arial"/>
          <w:sz w:val="22"/>
        </w:rPr>
      </w:pPr>
    </w:p>
    <w:p w14:paraId="3955B517" w14:textId="77777777" w:rsidR="00D80826" w:rsidRDefault="00D80826" w:rsidP="005949E1">
      <w:pPr>
        <w:ind w:left="2160"/>
        <w:jc w:val="both"/>
        <w:rPr>
          <w:rFonts w:ascii="Arial" w:hAnsi="Arial"/>
          <w:sz w:val="22"/>
        </w:rPr>
      </w:pPr>
    </w:p>
    <w:p w14:paraId="28110AE0"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0DAECD9"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59BD0085" w14:textId="77777777" w:rsidR="005949E1" w:rsidRDefault="005949E1" w:rsidP="005949E1">
      <w:pPr>
        <w:ind w:left="2160"/>
        <w:jc w:val="both"/>
        <w:rPr>
          <w:rFonts w:ascii="Arial" w:hAnsi="Arial" w:cs="Arial"/>
          <w:b/>
          <w:sz w:val="22"/>
          <w:szCs w:val="22"/>
        </w:rPr>
      </w:pPr>
    </w:p>
    <w:p w14:paraId="42C9D74B" w14:textId="26D66222"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960FF5">
        <w:rPr>
          <w:rFonts w:ascii="Arial" w:hAnsi="Arial" w:cs="Arial"/>
          <w:b/>
          <w:color w:val="0000FF"/>
          <w:sz w:val="23"/>
          <w:szCs w:val="23"/>
        </w:rPr>
        <w:t>The Massey</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 Fund</w:t>
      </w:r>
    </w:p>
    <w:p w14:paraId="54551E14"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606FCA31" w14:textId="77CEC7E3"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960FF5">
        <w:rPr>
          <w:rFonts w:ascii="Arial" w:hAnsi="Arial" w:cs="Arial"/>
          <w:b/>
          <w:color w:val="0000FF"/>
          <w:sz w:val="23"/>
          <w:szCs w:val="23"/>
        </w:rPr>
        <w:t>6 Ogilvie Way, HARRISDALE, WA 6112</w:t>
      </w:r>
    </w:p>
    <w:p w14:paraId="3BACAD57" w14:textId="251393A4"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960FF5">
        <w:rPr>
          <w:rFonts w:ascii="Arial" w:hAnsi="Arial" w:cs="Arial"/>
          <w:b/>
          <w:color w:val="0000FF"/>
          <w:sz w:val="23"/>
          <w:szCs w:val="23"/>
        </w:rPr>
        <w:t xml:space="preserve">20 </w:t>
      </w:r>
      <w:r w:rsidR="00B44FA9">
        <w:rPr>
          <w:rFonts w:ascii="Arial" w:hAnsi="Arial" w:cs="Arial"/>
          <w:b/>
          <w:color w:val="0000FF"/>
          <w:sz w:val="23"/>
          <w:szCs w:val="23"/>
        </w:rPr>
        <w:t>July</w:t>
      </w:r>
      <w:r w:rsidR="0025299C">
        <w:rPr>
          <w:rFonts w:ascii="Arial" w:hAnsi="Arial" w:cs="Arial"/>
          <w:b/>
          <w:color w:val="0000FF"/>
          <w:sz w:val="23"/>
          <w:szCs w:val="23"/>
        </w:rPr>
        <w:t xml:space="preserve"> </w:t>
      </w:r>
      <w:r w:rsidR="00960FF5">
        <w:rPr>
          <w:rFonts w:ascii="Arial" w:hAnsi="Arial" w:cs="Arial"/>
          <w:b/>
          <w:color w:val="0000FF"/>
          <w:sz w:val="23"/>
          <w:szCs w:val="23"/>
        </w:rPr>
        <w:t>202</w:t>
      </w:r>
      <w:r w:rsidR="009E4516">
        <w:rPr>
          <w:rFonts w:ascii="Arial" w:hAnsi="Arial" w:cs="Arial"/>
          <w:b/>
          <w:color w:val="0000FF"/>
          <w:sz w:val="23"/>
          <w:szCs w:val="23"/>
        </w:rPr>
        <w:t>3</w:t>
      </w:r>
    </w:p>
    <w:p w14:paraId="6A82BFE4" w14:textId="77777777" w:rsidR="00D80826" w:rsidRPr="00D80826" w:rsidRDefault="00D80826" w:rsidP="005949E1">
      <w:pPr>
        <w:jc w:val="both"/>
        <w:rPr>
          <w:rFonts w:ascii="Arial" w:hAnsi="Arial" w:cs="Arial"/>
          <w:b/>
          <w:sz w:val="22"/>
          <w:szCs w:val="22"/>
        </w:rPr>
      </w:pPr>
    </w:p>
    <w:p w14:paraId="35086D23" w14:textId="77777777" w:rsidR="00D80826" w:rsidRPr="00D80826" w:rsidRDefault="00D80826" w:rsidP="005949E1">
      <w:pPr>
        <w:jc w:val="both"/>
        <w:rPr>
          <w:rFonts w:ascii="Arial" w:hAnsi="Arial" w:cs="Arial"/>
          <w:b/>
          <w:sz w:val="22"/>
          <w:szCs w:val="22"/>
        </w:rPr>
      </w:pPr>
    </w:p>
    <w:p w14:paraId="1F4FB35B" w14:textId="38364CAF"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960FF5">
        <w:rPr>
          <w:rFonts w:ascii="Arial" w:hAnsi="Arial" w:cs="Arial"/>
          <w:color w:val="0000FF"/>
          <w:sz w:val="22"/>
          <w:szCs w:val="22"/>
        </w:rPr>
        <w:t>Dan Massey</w:t>
      </w:r>
    </w:p>
    <w:p w14:paraId="4FA06327" w14:textId="1A62FE02"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M</w:t>
      </w:r>
      <w:r w:rsidR="00960FF5">
        <w:rPr>
          <w:rFonts w:ascii="Arial" w:hAnsi="Arial" w:cs="Arial"/>
          <w:color w:val="0000FF"/>
          <w:sz w:val="22"/>
          <w:szCs w:val="22"/>
        </w:rPr>
        <w:t>r</w:t>
      </w:r>
      <w:r w:rsidR="005949E1" w:rsidRPr="00FC71B9">
        <w:rPr>
          <w:rFonts w:ascii="Arial" w:hAnsi="Arial" w:cs="Arial"/>
          <w:color w:val="0000FF"/>
          <w:sz w:val="22"/>
          <w:szCs w:val="22"/>
        </w:rPr>
        <w:t xml:space="preserve">s </w:t>
      </w:r>
      <w:r w:rsidR="00960FF5">
        <w:rPr>
          <w:rFonts w:ascii="Arial" w:hAnsi="Arial" w:cs="Arial"/>
          <w:color w:val="0000FF"/>
          <w:sz w:val="22"/>
          <w:szCs w:val="22"/>
        </w:rPr>
        <w:t>Yvette Massey</w:t>
      </w:r>
    </w:p>
    <w:p w14:paraId="5708B8BE" w14:textId="77777777" w:rsidR="00D80826" w:rsidRPr="00D80826" w:rsidRDefault="00D80826" w:rsidP="005949E1">
      <w:pPr>
        <w:jc w:val="both"/>
        <w:rPr>
          <w:rFonts w:ascii="Arial" w:hAnsi="Arial" w:cs="Arial"/>
          <w:sz w:val="22"/>
          <w:szCs w:val="22"/>
        </w:rPr>
      </w:pPr>
    </w:p>
    <w:p w14:paraId="04A4283E" w14:textId="34DD8FFA"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960FF5">
        <w:rPr>
          <w:rFonts w:ascii="Arial" w:hAnsi="Arial" w:cs="Arial"/>
          <w:color w:val="0000FF"/>
          <w:sz w:val="22"/>
          <w:szCs w:val="22"/>
        </w:rPr>
        <w:t>Dan Massey</w:t>
      </w:r>
    </w:p>
    <w:p w14:paraId="28A8967C" w14:textId="77777777" w:rsidR="00FC71B9" w:rsidRDefault="00FC71B9" w:rsidP="005949E1">
      <w:pPr>
        <w:jc w:val="both"/>
        <w:rPr>
          <w:rFonts w:ascii="Arial" w:hAnsi="Arial" w:cs="Arial"/>
          <w:sz w:val="22"/>
          <w:szCs w:val="22"/>
        </w:rPr>
      </w:pPr>
    </w:p>
    <w:p w14:paraId="66A1E338" w14:textId="10555B1B"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w:t>
      </w:r>
      <w:r w:rsidR="00960FF5">
        <w:rPr>
          <w:rFonts w:ascii="Arial" w:hAnsi="Arial" w:cs="Arial"/>
          <w:color w:val="0000FF"/>
          <w:sz w:val="22"/>
          <w:szCs w:val="22"/>
        </w:rPr>
        <w:t>The Massey</w:t>
      </w:r>
      <w:r w:rsidRPr="00FC71B9">
        <w:rPr>
          <w:rFonts w:ascii="Arial" w:hAnsi="Arial" w:cs="Arial"/>
          <w:color w:val="0000FF"/>
          <w:sz w:val="22"/>
          <w:szCs w:val="22"/>
        </w:rPr>
        <w:t xml:space="preserve"> Super Fund.</w:t>
      </w:r>
    </w:p>
    <w:p w14:paraId="6B96C2D1" w14:textId="77777777" w:rsidR="00FC71B9" w:rsidRPr="00D80826" w:rsidRDefault="00FC71B9" w:rsidP="005949E1">
      <w:pPr>
        <w:jc w:val="both"/>
        <w:rPr>
          <w:rFonts w:ascii="Arial" w:hAnsi="Arial" w:cs="Arial"/>
          <w:sz w:val="22"/>
          <w:szCs w:val="22"/>
        </w:rPr>
      </w:pPr>
    </w:p>
    <w:p w14:paraId="11BCC636"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120CC9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0FA9826D" w14:textId="77777777" w:rsidR="00D80826" w:rsidRPr="00D80826" w:rsidRDefault="00D80826" w:rsidP="005949E1">
      <w:pPr>
        <w:jc w:val="both"/>
        <w:rPr>
          <w:rFonts w:ascii="Arial" w:hAnsi="Arial" w:cs="Arial"/>
          <w:sz w:val="22"/>
          <w:szCs w:val="22"/>
        </w:rPr>
      </w:pPr>
    </w:p>
    <w:p w14:paraId="74FD4039"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3295C67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6EC85F3" w14:textId="5D991632"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00AB6564" w:rsidRPr="00D80826">
        <w:rPr>
          <w:rFonts w:ascii="Arial" w:hAnsi="Arial" w:cs="Arial"/>
          <w:sz w:val="22"/>
          <w:szCs w:val="22"/>
        </w:rPr>
        <w:t>therefore,</w:t>
      </w:r>
      <w:r w:rsidRPr="00D80826">
        <w:rPr>
          <w:rFonts w:ascii="Arial" w:hAnsi="Arial" w:cs="Arial"/>
          <w:sz w:val="22"/>
          <w:szCs w:val="22"/>
        </w:rPr>
        <w:t xml:space="preserv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2ADB7B45"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114BE30" w14:textId="77777777" w:rsidR="005949E1" w:rsidRPr="00D80826" w:rsidRDefault="005949E1" w:rsidP="005949E1">
      <w:pPr>
        <w:jc w:val="both"/>
        <w:rPr>
          <w:rFonts w:ascii="Arial" w:hAnsi="Arial" w:cs="Arial"/>
          <w:sz w:val="22"/>
          <w:szCs w:val="22"/>
        </w:rPr>
      </w:pPr>
    </w:p>
    <w:p w14:paraId="53D11326"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16D87F3C" w14:textId="77777777" w:rsidR="00D80826" w:rsidRPr="00D80826" w:rsidRDefault="00D80826" w:rsidP="005949E1">
      <w:pPr>
        <w:ind w:left="2160"/>
        <w:jc w:val="both"/>
        <w:rPr>
          <w:rFonts w:ascii="Arial" w:hAnsi="Arial" w:cs="Arial"/>
          <w:sz w:val="22"/>
          <w:szCs w:val="22"/>
        </w:rPr>
      </w:pPr>
    </w:p>
    <w:p w14:paraId="0A95DFE4"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32BADF0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460C02E3" w14:textId="77777777" w:rsidR="00D80826" w:rsidRPr="00D80826" w:rsidRDefault="00D80826" w:rsidP="005949E1">
      <w:pPr>
        <w:jc w:val="both"/>
        <w:rPr>
          <w:rFonts w:ascii="Arial" w:hAnsi="Arial" w:cs="Arial"/>
          <w:sz w:val="22"/>
          <w:szCs w:val="22"/>
        </w:rPr>
      </w:pPr>
    </w:p>
    <w:p w14:paraId="55D7A065"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4C312C0A"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15736450" w14:textId="3FCF20D1"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C71B9" w:rsidRPr="00FC71B9">
        <w:rPr>
          <w:rFonts w:ascii="Arial" w:hAnsi="Arial" w:cs="Arial"/>
          <w:color w:val="0000FF"/>
          <w:sz w:val="22"/>
          <w:szCs w:val="22"/>
        </w:rPr>
        <w:t xml:space="preserve"> June 20</w:t>
      </w:r>
      <w:r w:rsidR="00960FF5">
        <w:rPr>
          <w:rFonts w:ascii="Arial" w:hAnsi="Arial" w:cs="Arial"/>
          <w:color w:val="0000FF"/>
          <w:sz w:val="22"/>
          <w:szCs w:val="22"/>
        </w:rPr>
        <w:t>2</w:t>
      </w:r>
      <w:r w:rsidR="009E4516">
        <w:rPr>
          <w:rFonts w:ascii="Arial" w:hAnsi="Arial" w:cs="Arial"/>
          <w:color w:val="0000FF"/>
          <w:sz w:val="22"/>
          <w:szCs w:val="22"/>
        </w:rPr>
        <w:t>3</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6DBFB07" w14:textId="77777777" w:rsidR="00D80826" w:rsidRPr="00D80826" w:rsidRDefault="00D80826" w:rsidP="005949E1">
      <w:pPr>
        <w:ind w:left="1440" w:firstLine="720"/>
        <w:jc w:val="both"/>
        <w:rPr>
          <w:rFonts w:ascii="Arial" w:hAnsi="Arial" w:cs="Arial"/>
          <w:sz w:val="22"/>
          <w:szCs w:val="22"/>
        </w:rPr>
      </w:pPr>
    </w:p>
    <w:p w14:paraId="4039E43B"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07F5771D"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6EE7588B" w14:textId="77777777" w:rsidR="00D80826" w:rsidRDefault="00D80826" w:rsidP="005949E1">
      <w:pPr>
        <w:ind w:left="2160" w:hanging="2160"/>
        <w:jc w:val="both"/>
        <w:rPr>
          <w:rFonts w:ascii="Arial" w:hAnsi="Arial" w:cs="Arial"/>
          <w:sz w:val="22"/>
          <w:szCs w:val="22"/>
        </w:rPr>
      </w:pPr>
    </w:p>
    <w:p w14:paraId="3C3CB180" w14:textId="77777777" w:rsidR="00FC71B9" w:rsidRDefault="00FC71B9" w:rsidP="005949E1">
      <w:pPr>
        <w:ind w:left="2160" w:hanging="2160"/>
        <w:jc w:val="both"/>
        <w:rPr>
          <w:rFonts w:ascii="Arial" w:hAnsi="Arial" w:cs="Arial"/>
          <w:sz w:val="22"/>
          <w:szCs w:val="22"/>
        </w:rPr>
      </w:pPr>
    </w:p>
    <w:p w14:paraId="7F724FA4" w14:textId="77777777" w:rsidR="00FC71B9" w:rsidRDefault="00FC71B9" w:rsidP="005949E1">
      <w:pPr>
        <w:ind w:left="2160" w:hanging="2160"/>
        <w:jc w:val="both"/>
        <w:rPr>
          <w:rFonts w:ascii="Arial" w:hAnsi="Arial" w:cs="Arial"/>
          <w:sz w:val="22"/>
          <w:szCs w:val="22"/>
        </w:rPr>
      </w:pPr>
    </w:p>
    <w:p w14:paraId="5F66461B" w14:textId="77777777" w:rsidR="00FC71B9" w:rsidRDefault="00FC71B9" w:rsidP="005949E1">
      <w:pPr>
        <w:ind w:left="2160" w:hanging="2160"/>
        <w:jc w:val="both"/>
        <w:rPr>
          <w:rFonts w:ascii="Arial" w:hAnsi="Arial" w:cs="Arial"/>
          <w:sz w:val="22"/>
          <w:szCs w:val="22"/>
        </w:rPr>
      </w:pPr>
    </w:p>
    <w:p w14:paraId="719C59A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1627CEA2"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102EDF9E" w14:textId="77777777" w:rsidR="00D80826" w:rsidRPr="00D80826" w:rsidRDefault="00D80826" w:rsidP="005949E1">
      <w:pPr>
        <w:ind w:left="2160" w:hanging="2160"/>
        <w:jc w:val="both"/>
        <w:rPr>
          <w:rFonts w:ascii="Arial" w:hAnsi="Arial" w:cs="Arial"/>
          <w:sz w:val="22"/>
          <w:szCs w:val="22"/>
        </w:rPr>
      </w:pPr>
    </w:p>
    <w:p w14:paraId="71455DCD" w14:textId="69B8D3D3"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w:t>
      </w:r>
      <w:r w:rsidR="00960FF5" w:rsidRPr="00D80826">
        <w:rPr>
          <w:rFonts w:ascii="Arial" w:hAnsi="Arial" w:cs="Arial"/>
          <w:sz w:val="22"/>
          <w:szCs w:val="22"/>
        </w:rPr>
        <w:t>ended</w:t>
      </w:r>
      <w:r w:rsidR="00960FF5" w:rsidRPr="003F1724">
        <w:rPr>
          <w:rFonts w:ascii="Arial" w:hAnsi="Arial" w:cs="Arial"/>
          <w:sz w:val="22"/>
          <w:szCs w:val="22"/>
        </w:rPr>
        <w:t xml:space="preserve"> </w:t>
      </w:r>
      <w:r w:rsidR="00960FF5">
        <w:rPr>
          <w:rFonts w:ascii="Arial" w:hAnsi="Arial" w:cs="Arial"/>
          <w:sz w:val="22"/>
          <w:szCs w:val="22"/>
        </w:rPr>
        <w:t>30</w:t>
      </w:r>
      <w:r w:rsidR="003F1724" w:rsidRPr="00941332">
        <w:rPr>
          <w:rFonts w:ascii="Arial" w:hAnsi="Arial" w:cs="Arial"/>
          <w:color w:val="7030A0"/>
          <w:sz w:val="22"/>
          <w:szCs w:val="22"/>
          <w:vertAlign w:val="superscript"/>
        </w:rPr>
        <w:t>th</w:t>
      </w:r>
      <w:r w:rsidR="003F1724" w:rsidRPr="00941332">
        <w:rPr>
          <w:rFonts w:ascii="Arial" w:hAnsi="Arial" w:cs="Arial"/>
          <w:color w:val="7030A0"/>
          <w:sz w:val="22"/>
          <w:szCs w:val="22"/>
        </w:rPr>
        <w:t xml:space="preserve"> June</w:t>
      </w:r>
      <w:r w:rsidR="003F1724" w:rsidRPr="00FC71B9">
        <w:rPr>
          <w:rFonts w:ascii="Arial" w:hAnsi="Arial" w:cs="Arial"/>
          <w:color w:val="0000FF"/>
          <w:sz w:val="22"/>
          <w:szCs w:val="22"/>
        </w:rPr>
        <w:t xml:space="preserve"> 20</w:t>
      </w:r>
      <w:r w:rsidR="00960FF5">
        <w:rPr>
          <w:rFonts w:ascii="Arial" w:hAnsi="Arial" w:cs="Arial"/>
          <w:color w:val="0000FF"/>
          <w:sz w:val="22"/>
          <w:szCs w:val="22"/>
        </w:rPr>
        <w:t>2</w:t>
      </w:r>
      <w:r w:rsidR="009E4516">
        <w:rPr>
          <w:rFonts w:ascii="Arial" w:hAnsi="Arial" w:cs="Arial"/>
          <w:color w:val="0000FF"/>
          <w:sz w:val="22"/>
          <w:szCs w:val="22"/>
        </w:rPr>
        <w:t>3</w:t>
      </w:r>
      <w:r w:rsidR="003F1724" w:rsidRPr="00D80826">
        <w:rPr>
          <w:rFonts w:ascii="Arial" w:hAnsi="Arial" w:cs="Arial"/>
          <w:sz w:val="22"/>
          <w:szCs w:val="22"/>
        </w:rPr>
        <w:t>.</w:t>
      </w:r>
    </w:p>
    <w:p w14:paraId="0D2C8487" w14:textId="77777777" w:rsidR="00D80826" w:rsidRPr="00D80826" w:rsidRDefault="00D80826" w:rsidP="005949E1">
      <w:pPr>
        <w:ind w:left="2160" w:hanging="2160"/>
        <w:jc w:val="both"/>
        <w:rPr>
          <w:rFonts w:ascii="Arial" w:hAnsi="Arial" w:cs="Arial"/>
          <w:b/>
          <w:sz w:val="22"/>
          <w:szCs w:val="22"/>
        </w:rPr>
      </w:pPr>
    </w:p>
    <w:p w14:paraId="7FE4D6AD"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 xml:space="preserve">Tony </w:t>
      </w:r>
      <w:proofErr w:type="gramStart"/>
      <w:r w:rsidR="00CF1E25">
        <w:rPr>
          <w:rFonts w:ascii="Arial" w:hAnsi="Arial" w:cs="Arial"/>
          <w:color w:val="0000FF"/>
          <w:sz w:val="22"/>
          <w:szCs w:val="22"/>
        </w:rPr>
        <w:t>Boys,</w:t>
      </w:r>
      <w:proofErr w:type="gramEnd"/>
      <w:r w:rsidR="00CF1E25">
        <w:rPr>
          <w:rFonts w:ascii="Arial" w:hAnsi="Arial" w:cs="Arial"/>
          <w:color w:val="0000FF"/>
          <w:sz w:val="22"/>
          <w:szCs w:val="22"/>
        </w:rPr>
        <w:t xml:space="preserve">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090CAE6D" w14:textId="77777777" w:rsidR="005949E1" w:rsidRDefault="005949E1" w:rsidP="005949E1">
      <w:pPr>
        <w:ind w:left="2160" w:hanging="2160"/>
        <w:jc w:val="both"/>
        <w:rPr>
          <w:rFonts w:ascii="Arial" w:hAnsi="Arial" w:cs="Arial"/>
          <w:sz w:val="22"/>
          <w:szCs w:val="22"/>
        </w:rPr>
      </w:pPr>
    </w:p>
    <w:p w14:paraId="468C3D93" w14:textId="7BE13E0E"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AB6564">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960FF5">
        <w:rPr>
          <w:rFonts w:ascii="Arial" w:hAnsi="Arial" w:cs="Arial"/>
          <w:color w:val="0000FF"/>
          <w:sz w:val="22"/>
          <w:szCs w:val="22"/>
        </w:rPr>
        <w:t>2</w:t>
      </w:r>
      <w:r w:rsidR="009E4516">
        <w:rPr>
          <w:rFonts w:ascii="Arial" w:hAnsi="Arial" w:cs="Arial"/>
          <w:color w:val="0000FF"/>
          <w:sz w:val="22"/>
          <w:szCs w:val="22"/>
        </w:rPr>
        <w:t>4</w:t>
      </w:r>
      <w:r w:rsidRPr="00D80826">
        <w:rPr>
          <w:rFonts w:ascii="Arial" w:hAnsi="Arial" w:cs="Arial"/>
          <w:sz w:val="22"/>
          <w:szCs w:val="22"/>
        </w:rPr>
        <w:t>.</w:t>
      </w:r>
    </w:p>
    <w:p w14:paraId="0D23102A" w14:textId="77777777" w:rsidR="00D80826" w:rsidRPr="00D80826" w:rsidRDefault="00D80826" w:rsidP="005949E1">
      <w:pPr>
        <w:ind w:left="2160" w:hanging="2160"/>
        <w:jc w:val="both"/>
        <w:rPr>
          <w:rFonts w:ascii="Arial" w:hAnsi="Arial" w:cs="Arial"/>
          <w:b/>
          <w:sz w:val="22"/>
          <w:szCs w:val="22"/>
        </w:rPr>
      </w:pPr>
    </w:p>
    <w:p w14:paraId="152FD3F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66E40AEA" w14:textId="77777777" w:rsidR="00D80826" w:rsidRPr="00D80826" w:rsidRDefault="00D80826" w:rsidP="005949E1">
      <w:pPr>
        <w:ind w:left="2160" w:hanging="2160"/>
        <w:jc w:val="both"/>
        <w:rPr>
          <w:rFonts w:ascii="Arial" w:hAnsi="Arial" w:cs="Arial"/>
          <w:b/>
          <w:sz w:val="22"/>
          <w:szCs w:val="22"/>
        </w:rPr>
      </w:pPr>
    </w:p>
    <w:p w14:paraId="55839ED4" w14:textId="77777777" w:rsidR="00D80826" w:rsidRPr="00D80826" w:rsidRDefault="00D80826" w:rsidP="005949E1">
      <w:pPr>
        <w:ind w:left="2160" w:hanging="2160"/>
        <w:jc w:val="both"/>
        <w:rPr>
          <w:rFonts w:ascii="Arial" w:hAnsi="Arial" w:cs="Arial"/>
          <w:b/>
          <w:sz w:val="22"/>
          <w:szCs w:val="22"/>
        </w:rPr>
      </w:pPr>
    </w:p>
    <w:p w14:paraId="35711377"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4E049E0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22EB481" w14:textId="77777777" w:rsidR="00D80826" w:rsidRPr="00D80826" w:rsidRDefault="00D80826" w:rsidP="005949E1">
      <w:pPr>
        <w:ind w:left="2160" w:hanging="2160"/>
        <w:jc w:val="both"/>
        <w:rPr>
          <w:rFonts w:ascii="Arial" w:hAnsi="Arial" w:cs="Arial"/>
          <w:sz w:val="22"/>
          <w:szCs w:val="22"/>
        </w:rPr>
      </w:pPr>
    </w:p>
    <w:p w14:paraId="74CF836A" w14:textId="77777777" w:rsidR="00FC71B9" w:rsidRDefault="00FC71B9" w:rsidP="005949E1">
      <w:pPr>
        <w:ind w:left="2160" w:hanging="2160"/>
        <w:jc w:val="both"/>
        <w:rPr>
          <w:rFonts w:ascii="Arial" w:hAnsi="Arial" w:cs="Arial"/>
          <w:sz w:val="22"/>
          <w:szCs w:val="22"/>
        </w:rPr>
      </w:pPr>
    </w:p>
    <w:p w14:paraId="57F16F72"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44D3EA8"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02698F7F" w14:textId="77777777" w:rsidR="00FC71B9" w:rsidRDefault="00FC71B9" w:rsidP="00FC71B9">
      <w:pPr>
        <w:suppressAutoHyphens/>
        <w:ind w:right="119"/>
        <w:jc w:val="both"/>
        <w:rPr>
          <w:rFonts w:ascii="Arial" w:hAnsi="Arial" w:cs="Arial"/>
          <w:sz w:val="22"/>
          <w:szCs w:val="22"/>
        </w:rPr>
      </w:pPr>
    </w:p>
    <w:p w14:paraId="26B2B429"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30B64524" w14:textId="77777777" w:rsidR="009F319F" w:rsidRDefault="009F319F" w:rsidP="005949E1">
      <w:pPr>
        <w:suppressAutoHyphens/>
        <w:ind w:left="4320" w:right="119" w:hanging="4320"/>
        <w:jc w:val="both"/>
        <w:rPr>
          <w:rFonts w:ascii="Arial" w:hAnsi="Arial"/>
          <w:spacing w:val="-3"/>
          <w:sz w:val="22"/>
        </w:rPr>
      </w:pPr>
    </w:p>
    <w:p w14:paraId="5B87420E" w14:textId="77777777" w:rsidR="009F319F" w:rsidRDefault="009F319F" w:rsidP="005949E1">
      <w:pPr>
        <w:suppressAutoHyphens/>
        <w:ind w:left="4320" w:right="119" w:hanging="4320"/>
        <w:jc w:val="both"/>
        <w:rPr>
          <w:rFonts w:ascii="Arial" w:hAnsi="Arial"/>
          <w:spacing w:val="-3"/>
          <w:sz w:val="22"/>
        </w:rPr>
      </w:pPr>
    </w:p>
    <w:p w14:paraId="6EFDF3F7" w14:textId="77777777" w:rsidR="009F319F" w:rsidRDefault="009F319F" w:rsidP="005949E1">
      <w:pPr>
        <w:suppressAutoHyphens/>
        <w:ind w:left="4320" w:right="119" w:hanging="4320"/>
        <w:jc w:val="both"/>
        <w:rPr>
          <w:rFonts w:ascii="Arial" w:hAnsi="Arial"/>
          <w:spacing w:val="-3"/>
          <w:sz w:val="22"/>
        </w:rPr>
      </w:pPr>
    </w:p>
    <w:p w14:paraId="1F85459D" w14:textId="77777777" w:rsidR="00FC71B9" w:rsidRDefault="00FC71B9" w:rsidP="00FC71B9">
      <w:pPr>
        <w:suppressAutoHyphens/>
        <w:ind w:right="119"/>
        <w:jc w:val="both"/>
        <w:rPr>
          <w:rFonts w:ascii="Arial" w:hAnsi="Arial"/>
          <w:spacing w:val="-3"/>
          <w:sz w:val="22"/>
        </w:rPr>
      </w:pPr>
    </w:p>
    <w:p w14:paraId="56CC6DAD" w14:textId="77777777" w:rsidR="00FC71B9" w:rsidRDefault="00FC71B9" w:rsidP="00FC71B9">
      <w:pPr>
        <w:suppressAutoHyphens/>
        <w:ind w:right="119"/>
        <w:jc w:val="both"/>
        <w:rPr>
          <w:rFonts w:ascii="Arial" w:hAnsi="Arial"/>
          <w:spacing w:val="-3"/>
          <w:sz w:val="22"/>
        </w:rPr>
      </w:pPr>
    </w:p>
    <w:p w14:paraId="7B987749"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23252BE0" w14:textId="516507A2"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960FF5">
        <w:rPr>
          <w:rFonts w:ascii="Arial" w:hAnsi="Arial"/>
          <w:color w:val="0000FF"/>
          <w:spacing w:val="-3"/>
          <w:sz w:val="22"/>
        </w:rPr>
        <w:t>Dan Massey</w:t>
      </w:r>
    </w:p>
    <w:p w14:paraId="6410E9B1"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77E229C7" w14:textId="77777777" w:rsidR="009F319F" w:rsidRDefault="009F319F" w:rsidP="005949E1">
      <w:pPr>
        <w:suppressAutoHyphens/>
        <w:ind w:right="119"/>
        <w:jc w:val="both"/>
        <w:rPr>
          <w:rFonts w:ascii="Arial" w:hAnsi="Arial"/>
          <w:spacing w:val="-3"/>
          <w:sz w:val="22"/>
        </w:rPr>
      </w:pPr>
    </w:p>
    <w:p w14:paraId="3A69A883" w14:textId="77777777" w:rsidR="00D80826" w:rsidRDefault="00D80826" w:rsidP="005949E1">
      <w:pPr>
        <w:ind w:right="119"/>
        <w:jc w:val="both"/>
        <w:rPr>
          <w:rFonts w:ascii="Arial" w:hAnsi="Arial"/>
        </w:rPr>
      </w:pPr>
    </w:p>
    <w:p w14:paraId="02726EC1" w14:textId="77777777" w:rsidR="00D80826" w:rsidRDefault="00D80826" w:rsidP="005949E1">
      <w:pPr>
        <w:ind w:right="119"/>
        <w:jc w:val="both"/>
        <w:rPr>
          <w:rFonts w:ascii="Arial" w:hAnsi="Arial"/>
        </w:rPr>
      </w:pPr>
    </w:p>
    <w:p w14:paraId="7B0F8853" w14:textId="77777777" w:rsidR="00D80826" w:rsidRDefault="00D80826" w:rsidP="005949E1">
      <w:pPr>
        <w:ind w:right="119"/>
        <w:jc w:val="both"/>
        <w:rPr>
          <w:rFonts w:ascii="Arial" w:hAnsi="Arial"/>
        </w:rPr>
      </w:pPr>
    </w:p>
    <w:p w14:paraId="1DEDCA6C" w14:textId="77777777" w:rsidR="00D80826" w:rsidRDefault="00D80826" w:rsidP="005949E1">
      <w:pPr>
        <w:ind w:right="119"/>
        <w:jc w:val="both"/>
        <w:rPr>
          <w:rFonts w:ascii="Arial" w:hAnsi="Arial"/>
        </w:rPr>
      </w:pPr>
    </w:p>
    <w:p w14:paraId="467B5BCA" w14:textId="77777777" w:rsidR="00D80826" w:rsidRDefault="00D80826" w:rsidP="005949E1">
      <w:pPr>
        <w:ind w:right="119"/>
        <w:jc w:val="both"/>
        <w:rPr>
          <w:rFonts w:ascii="Arial" w:hAnsi="Arial"/>
        </w:rPr>
      </w:pPr>
    </w:p>
    <w:p w14:paraId="057D23F6" w14:textId="77777777" w:rsidR="00D80826" w:rsidRDefault="00D80826" w:rsidP="005949E1">
      <w:pPr>
        <w:ind w:right="119"/>
        <w:jc w:val="both"/>
        <w:rPr>
          <w:rFonts w:ascii="Arial" w:hAnsi="Arial"/>
        </w:rPr>
      </w:pPr>
    </w:p>
    <w:p w14:paraId="2CD94419" w14:textId="77777777" w:rsidR="00D80826" w:rsidRDefault="00D80826" w:rsidP="005949E1">
      <w:pPr>
        <w:ind w:right="119"/>
        <w:jc w:val="both"/>
        <w:rPr>
          <w:rFonts w:ascii="Arial" w:hAnsi="Arial"/>
        </w:rPr>
      </w:pPr>
    </w:p>
    <w:p w14:paraId="2616419C" w14:textId="77777777" w:rsidR="00D80826" w:rsidRDefault="00D80826" w:rsidP="005949E1">
      <w:pPr>
        <w:ind w:right="119"/>
        <w:jc w:val="both"/>
        <w:rPr>
          <w:rFonts w:ascii="Arial" w:hAnsi="Arial"/>
        </w:rPr>
      </w:pPr>
    </w:p>
    <w:p w14:paraId="3EDFBEEF" w14:textId="77777777" w:rsidR="00D80826" w:rsidRDefault="00D80826" w:rsidP="005949E1">
      <w:pPr>
        <w:ind w:right="119"/>
        <w:jc w:val="both"/>
        <w:rPr>
          <w:rFonts w:ascii="Arial" w:hAnsi="Arial"/>
        </w:rPr>
      </w:pPr>
    </w:p>
    <w:p w14:paraId="28ACB8AF" w14:textId="77777777" w:rsidR="00D80826" w:rsidRDefault="00D80826" w:rsidP="005949E1">
      <w:pPr>
        <w:ind w:right="119"/>
        <w:jc w:val="both"/>
        <w:rPr>
          <w:rFonts w:ascii="Arial" w:hAnsi="Arial"/>
        </w:rPr>
      </w:pPr>
    </w:p>
    <w:p w14:paraId="0535CD98" w14:textId="77777777" w:rsidR="00D80826" w:rsidRDefault="00D80826" w:rsidP="005949E1">
      <w:pPr>
        <w:ind w:right="119"/>
        <w:jc w:val="both"/>
        <w:rPr>
          <w:rFonts w:ascii="Arial" w:hAnsi="Arial"/>
        </w:rPr>
      </w:pPr>
    </w:p>
    <w:p w14:paraId="7C1D06A6" w14:textId="77777777" w:rsidR="00D80826" w:rsidRDefault="00D80826" w:rsidP="005949E1">
      <w:pPr>
        <w:ind w:right="119"/>
        <w:jc w:val="both"/>
        <w:rPr>
          <w:rFonts w:ascii="Arial" w:hAnsi="Arial"/>
        </w:rPr>
      </w:pPr>
    </w:p>
    <w:p w14:paraId="0095049F" w14:textId="77777777" w:rsidR="00D80826" w:rsidRDefault="00D80826" w:rsidP="005949E1">
      <w:pPr>
        <w:ind w:right="119"/>
        <w:jc w:val="both"/>
        <w:rPr>
          <w:rFonts w:ascii="Arial" w:hAnsi="Arial"/>
        </w:rPr>
      </w:pPr>
    </w:p>
    <w:p w14:paraId="6FDEF40B"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A05B" w14:textId="77777777" w:rsidR="00687F56" w:rsidRDefault="00687F56">
      <w:r>
        <w:separator/>
      </w:r>
    </w:p>
  </w:endnote>
  <w:endnote w:type="continuationSeparator" w:id="0">
    <w:p w14:paraId="0B473686" w14:textId="77777777" w:rsidR="00687F56" w:rsidRDefault="0068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507B" w14:textId="77777777" w:rsidR="00687F56" w:rsidRDefault="00687F56">
      <w:r>
        <w:separator/>
      </w:r>
    </w:p>
  </w:footnote>
  <w:footnote w:type="continuationSeparator" w:id="0">
    <w:p w14:paraId="563BB91B" w14:textId="77777777" w:rsidR="00687F56" w:rsidRDefault="0068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16cid:durableId="1110858089">
    <w:abstractNumId w:val="4"/>
  </w:num>
  <w:num w:numId="2" w16cid:durableId="294528994">
    <w:abstractNumId w:val="9"/>
  </w:num>
  <w:num w:numId="3" w16cid:durableId="805045987">
    <w:abstractNumId w:val="13"/>
  </w:num>
  <w:num w:numId="4" w16cid:durableId="857354345">
    <w:abstractNumId w:val="8"/>
  </w:num>
  <w:num w:numId="5" w16cid:durableId="1864171728">
    <w:abstractNumId w:val="11"/>
  </w:num>
  <w:num w:numId="6" w16cid:durableId="660354394">
    <w:abstractNumId w:val="6"/>
  </w:num>
  <w:num w:numId="7" w16cid:durableId="807357440">
    <w:abstractNumId w:val="12"/>
  </w:num>
  <w:num w:numId="8" w16cid:durableId="264845395">
    <w:abstractNumId w:val="16"/>
  </w:num>
  <w:num w:numId="9" w16cid:durableId="1249390554">
    <w:abstractNumId w:val="2"/>
  </w:num>
  <w:num w:numId="10" w16cid:durableId="849218104">
    <w:abstractNumId w:val="5"/>
  </w:num>
  <w:num w:numId="11" w16cid:durableId="480000052">
    <w:abstractNumId w:val="10"/>
  </w:num>
  <w:num w:numId="12" w16cid:durableId="235014421">
    <w:abstractNumId w:val="3"/>
  </w:num>
  <w:num w:numId="13" w16cid:durableId="499200419">
    <w:abstractNumId w:val="1"/>
  </w:num>
  <w:num w:numId="14" w16cid:durableId="532770281">
    <w:abstractNumId w:val="14"/>
  </w:num>
  <w:num w:numId="15" w16cid:durableId="808791756">
    <w:abstractNumId w:val="7"/>
  </w:num>
  <w:num w:numId="16" w16cid:durableId="1166169302">
    <w:abstractNumId w:val="15"/>
  </w:num>
  <w:num w:numId="17" w16cid:durableId="78075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41C87"/>
    <w:rsid w:val="00190DB1"/>
    <w:rsid w:val="001A0CCB"/>
    <w:rsid w:val="001B3F5E"/>
    <w:rsid w:val="001E116D"/>
    <w:rsid w:val="001E57B5"/>
    <w:rsid w:val="002370C4"/>
    <w:rsid w:val="002374E4"/>
    <w:rsid w:val="0025299C"/>
    <w:rsid w:val="002647EB"/>
    <w:rsid w:val="003627D9"/>
    <w:rsid w:val="00376018"/>
    <w:rsid w:val="003824D3"/>
    <w:rsid w:val="00390ABE"/>
    <w:rsid w:val="003A0D0E"/>
    <w:rsid w:val="003B6257"/>
    <w:rsid w:val="003F1724"/>
    <w:rsid w:val="004014DA"/>
    <w:rsid w:val="00440E72"/>
    <w:rsid w:val="004858A7"/>
    <w:rsid w:val="004F5DD7"/>
    <w:rsid w:val="00512995"/>
    <w:rsid w:val="00564377"/>
    <w:rsid w:val="00564B92"/>
    <w:rsid w:val="005949E1"/>
    <w:rsid w:val="0060748D"/>
    <w:rsid w:val="00687F56"/>
    <w:rsid w:val="006B6E48"/>
    <w:rsid w:val="006E41FB"/>
    <w:rsid w:val="006E7CC4"/>
    <w:rsid w:val="00731717"/>
    <w:rsid w:val="007317FA"/>
    <w:rsid w:val="007B0276"/>
    <w:rsid w:val="007F11B6"/>
    <w:rsid w:val="00841907"/>
    <w:rsid w:val="00885515"/>
    <w:rsid w:val="008C57BD"/>
    <w:rsid w:val="008D7430"/>
    <w:rsid w:val="009077D0"/>
    <w:rsid w:val="00920AF6"/>
    <w:rsid w:val="00932A4D"/>
    <w:rsid w:val="009537F4"/>
    <w:rsid w:val="00960FF5"/>
    <w:rsid w:val="009937D2"/>
    <w:rsid w:val="009A01AD"/>
    <w:rsid w:val="009A20D3"/>
    <w:rsid w:val="009C1E71"/>
    <w:rsid w:val="009E4516"/>
    <w:rsid w:val="009F319F"/>
    <w:rsid w:val="00A46C02"/>
    <w:rsid w:val="00A940D5"/>
    <w:rsid w:val="00AB6564"/>
    <w:rsid w:val="00AE48EC"/>
    <w:rsid w:val="00AF3CD0"/>
    <w:rsid w:val="00B05B6E"/>
    <w:rsid w:val="00B13242"/>
    <w:rsid w:val="00B43570"/>
    <w:rsid w:val="00B443B2"/>
    <w:rsid w:val="00B44FA9"/>
    <w:rsid w:val="00BB5505"/>
    <w:rsid w:val="00C04881"/>
    <w:rsid w:val="00C46165"/>
    <w:rsid w:val="00C729DB"/>
    <w:rsid w:val="00C90E65"/>
    <w:rsid w:val="00CA01FD"/>
    <w:rsid w:val="00CC3291"/>
    <w:rsid w:val="00CC558D"/>
    <w:rsid w:val="00CD7BA4"/>
    <w:rsid w:val="00CF1E25"/>
    <w:rsid w:val="00CF4E75"/>
    <w:rsid w:val="00CF5465"/>
    <w:rsid w:val="00D3512F"/>
    <w:rsid w:val="00D41963"/>
    <w:rsid w:val="00D51F49"/>
    <w:rsid w:val="00D80826"/>
    <w:rsid w:val="00D93529"/>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1D15"/>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2023-09-05T10:39:00Z</dcterms:created>
  <dcterms:modified xsi:type="dcterms:W3CDTF">2023-09-05T10:39:00Z</dcterms:modified>
</cp:coreProperties>
</file>