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5220" w14:textId="123E2616" w:rsidR="005D13FD" w:rsidRDefault="005D13FD" w:rsidP="005D13FD">
      <w:pPr>
        <w:pStyle w:val="ListParagraph"/>
        <w:numPr>
          <w:ilvl w:val="0"/>
          <w:numId w:val="1"/>
        </w:numPr>
      </w:pPr>
      <w:r>
        <w:t>Our pricing for BTC and ETH is based on the price feed from NBOC. These prices are imported into our software daily and allow for a consistent market value of cryptocurrency across all of our clients regardless of which broker or platform they are using. Accordingly we have not used btc market’s pricing which could vary for a number of reasons including a different exchange rate being used. Any differences will be immaterial.</w:t>
      </w:r>
    </w:p>
    <w:p w14:paraId="5A17E9FF" w14:textId="3C1D923C" w:rsidR="005D13FD" w:rsidRDefault="00000000" w:rsidP="005D13FD">
      <w:hyperlink r:id="rId5" w:history="1">
        <w:r w:rsidR="005D13FD" w:rsidRPr="005D13FD">
          <w:rPr>
            <w:color w:val="0000FF"/>
            <w:u w:val="single"/>
          </w:rPr>
          <w:t>FAQ - NBOC</w:t>
        </w:r>
      </w:hyperlink>
    </w:p>
    <w:p w14:paraId="32765EC6" w14:textId="77777777" w:rsidR="005D13FD" w:rsidRDefault="005D13FD" w:rsidP="005D13FD"/>
    <w:p w14:paraId="4B242AAD" w14:textId="2ADDF55E" w:rsidR="005D13FD" w:rsidRDefault="00000000">
      <w:hyperlink r:id="rId6" w:history="1">
        <w:r w:rsidR="005D13FD" w:rsidRPr="00133E45">
          <w:rPr>
            <w:rStyle w:val="Hyperlink"/>
          </w:rPr>
          <w:t>https://www.bglcorp.com/2022/03/07/bgl-collaborates-with-cointree-to-provide-cryptocurrency-price-feed-nboc/</w:t>
        </w:r>
      </w:hyperlink>
    </w:p>
    <w:p w14:paraId="15C065F2" w14:textId="77777777" w:rsidR="005D13FD" w:rsidRDefault="005D13FD"/>
    <w:p w14:paraId="636C32C4" w14:textId="4003F312" w:rsidR="005D13FD" w:rsidRDefault="005D13FD">
      <w:r>
        <w:t>BTC</w:t>
      </w:r>
    </w:p>
    <w:p w14:paraId="69D374C6" w14:textId="51852B2D" w:rsidR="005D13FD" w:rsidRDefault="005D13FD">
      <w:r w:rsidRPr="005D13FD">
        <w:rPr>
          <w:noProof/>
        </w:rPr>
        <w:drawing>
          <wp:inline distT="0" distB="0" distL="0" distR="0" wp14:anchorId="7CD642DF" wp14:editId="1FFBBE3B">
            <wp:extent cx="5731510" cy="1073150"/>
            <wp:effectExtent l="0" t="0" r="2540" b="0"/>
            <wp:docPr id="1651943573"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43573" name="Picture 1" descr="A white rectangular object with black text&#10;&#10;Description automatically generated"/>
                    <pic:cNvPicPr/>
                  </pic:nvPicPr>
                  <pic:blipFill>
                    <a:blip r:embed="rId7"/>
                    <a:stretch>
                      <a:fillRect/>
                    </a:stretch>
                  </pic:blipFill>
                  <pic:spPr>
                    <a:xfrm>
                      <a:off x="0" y="0"/>
                      <a:ext cx="5731510" cy="1073150"/>
                    </a:xfrm>
                    <a:prstGeom prst="rect">
                      <a:avLst/>
                    </a:prstGeom>
                  </pic:spPr>
                </pic:pic>
              </a:graphicData>
            </a:graphic>
          </wp:inline>
        </w:drawing>
      </w:r>
    </w:p>
    <w:p w14:paraId="40887A87" w14:textId="2F076A7D" w:rsidR="005D13FD" w:rsidRDefault="005D13FD">
      <w:r>
        <w:t>ETH</w:t>
      </w:r>
    </w:p>
    <w:p w14:paraId="2231DEE1" w14:textId="3CA9EC5E" w:rsidR="005D13FD" w:rsidRDefault="005D13FD">
      <w:r w:rsidRPr="005D13FD">
        <w:rPr>
          <w:noProof/>
        </w:rPr>
        <w:drawing>
          <wp:inline distT="0" distB="0" distL="0" distR="0" wp14:anchorId="5DDDACA9" wp14:editId="64481591">
            <wp:extent cx="5731510" cy="1358900"/>
            <wp:effectExtent l="0" t="0" r="2540" b="0"/>
            <wp:docPr id="7134929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92964" name="Picture 1" descr="A screenshot of a computer&#10;&#10;Description automatically generated"/>
                    <pic:cNvPicPr/>
                  </pic:nvPicPr>
                  <pic:blipFill>
                    <a:blip r:embed="rId8"/>
                    <a:stretch>
                      <a:fillRect/>
                    </a:stretch>
                  </pic:blipFill>
                  <pic:spPr>
                    <a:xfrm>
                      <a:off x="0" y="0"/>
                      <a:ext cx="5731510" cy="1358900"/>
                    </a:xfrm>
                    <a:prstGeom prst="rect">
                      <a:avLst/>
                    </a:prstGeom>
                  </pic:spPr>
                </pic:pic>
              </a:graphicData>
            </a:graphic>
          </wp:inline>
        </w:drawing>
      </w:r>
    </w:p>
    <w:p w14:paraId="3C622558" w14:textId="77777777" w:rsidR="005D13FD" w:rsidRDefault="005D13FD"/>
    <w:p w14:paraId="48CA7AB8" w14:textId="77777777" w:rsidR="005D13FD" w:rsidRDefault="005D13FD"/>
    <w:p w14:paraId="20D61DAA" w14:textId="0F4175DE" w:rsidR="005D13FD" w:rsidRDefault="00B82367" w:rsidP="00B82367">
      <w:pPr>
        <w:pStyle w:val="ListParagraph"/>
        <w:numPr>
          <w:ilvl w:val="0"/>
          <w:numId w:val="1"/>
        </w:numPr>
      </w:pPr>
      <w:r>
        <w:t>Updated trustee declaration re cryptocurrency attached.</w:t>
      </w:r>
    </w:p>
    <w:sectPr w:rsidR="005D1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B3F34"/>
    <w:multiLevelType w:val="hybridMultilevel"/>
    <w:tmpl w:val="F84C22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22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FD"/>
    <w:rsid w:val="005D13FD"/>
    <w:rsid w:val="008C6555"/>
    <w:rsid w:val="00B45690"/>
    <w:rsid w:val="00B82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0CFB"/>
  <w15:chartTrackingRefBased/>
  <w15:docId w15:val="{6F81FAEC-A0BA-40B6-9F24-0FE7683A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3FD"/>
    <w:rPr>
      <w:color w:val="0563C1" w:themeColor="hyperlink"/>
      <w:u w:val="single"/>
    </w:rPr>
  </w:style>
  <w:style w:type="character" w:styleId="UnresolvedMention">
    <w:name w:val="Unresolved Mention"/>
    <w:basedOn w:val="DefaultParagraphFont"/>
    <w:uiPriority w:val="99"/>
    <w:semiHidden/>
    <w:unhideWhenUsed/>
    <w:rsid w:val="005D13FD"/>
    <w:rPr>
      <w:color w:val="605E5C"/>
      <w:shd w:val="clear" w:color="auto" w:fill="E1DFDD"/>
    </w:rPr>
  </w:style>
  <w:style w:type="paragraph" w:styleId="ListParagraph">
    <w:name w:val="List Paragraph"/>
    <w:basedOn w:val="Normal"/>
    <w:uiPriority w:val="34"/>
    <w:qFormat/>
    <w:rsid w:val="005D1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glcorp.com/2022/03/07/bgl-collaborates-with-cointree-to-provide-cryptocurrency-price-feed-nboc/" TargetMode="External"/><Relationship Id="rId5" Type="http://schemas.openxmlformats.org/officeDocument/2006/relationships/hyperlink" Target="https://www.nboc.com.au/Company/FA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Barnes</dc:creator>
  <cp:keywords/>
  <dc:description/>
  <cp:lastModifiedBy>Karen Barnes</cp:lastModifiedBy>
  <cp:revision>2</cp:revision>
  <dcterms:created xsi:type="dcterms:W3CDTF">2024-01-24T21:37:00Z</dcterms:created>
  <dcterms:modified xsi:type="dcterms:W3CDTF">2024-01-25T00:35:00Z</dcterms:modified>
</cp:coreProperties>
</file>