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683D95" w:rsidP="00064C43">
      <w:pPr>
        <w:jc w:val="center"/>
        <w:rPr>
          <w:b/>
          <w:bCs/>
        </w:rPr>
      </w:pPr>
      <w:r>
        <w:rPr>
          <w:rFonts w:cs="Arial"/>
          <w:b/>
        </w:rPr>
        <w:t>TALLIE</w:t>
      </w:r>
      <w:r w:rsidR="00A94FA6">
        <w:rPr>
          <w:rFonts w:cs="Arial"/>
          <w:b/>
        </w:rPr>
        <w:t xml:space="preserve"> </w:t>
      </w:r>
      <w:r w:rsidR="00003BDA">
        <w:rPr>
          <w:rFonts w:cs="Arial"/>
          <w:b/>
        </w:rPr>
        <w:t>SUPERANNUATION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683D95" w:rsidP="001F35FD">
      <w:pPr>
        <w:pStyle w:val="BodyTextIndent"/>
        <w:jc w:val="center"/>
        <w:rPr>
          <w:b/>
          <w:bCs/>
        </w:rPr>
      </w:pPr>
      <w:r>
        <w:rPr>
          <w:rFonts w:cs="Arial"/>
          <w:b/>
        </w:rPr>
        <w:t>TALLIE</w:t>
      </w:r>
      <w:r w:rsidR="00A94FA6">
        <w:rPr>
          <w:rFonts w:cs="Arial"/>
          <w:b/>
        </w:rPr>
        <w:t xml:space="preserve"> </w:t>
      </w:r>
      <w:r w:rsidR="00003BDA">
        <w:rPr>
          <w:rFonts w:cs="Arial"/>
          <w:b/>
        </w:rPr>
        <w:t>SUPERANNUATION 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tabs>
          <w:tab w:val="right" w:pos="8280"/>
        </w:tabs>
        <w:ind w:left="360" w:right="26" w:firstLine="0"/>
      </w:pPr>
      <w:r>
        <w:t>SIGNED BY THE TRUSTEES</w:t>
      </w:r>
      <w:r>
        <w:tab/>
        <w:t>SIGNED BY THE MEMBERS</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683D95" w:rsidRDefault="00064C43" w:rsidP="00064C43">
      <w:pPr>
        <w:pStyle w:val="BodyTextIndent"/>
        <w:tabs>
          <w:tab w:val="right" w:pos="8280"/>
        </w:tabs>
        <w:ind w:left="360" w:right="26" w:firstLine="0"/>
      </w:pPr>
      <w:r w:rsidRPr="00683D95">
        <w:t>………………………………..</w:t>
      </w:r>
      <w:r w:rsidRPr="00683D95">
        <w:tab/>
        <w:t>…………………………………</w:t>
      </w:r>
    </w:p>
    <w:p w:rsidR="00683D95" w:rsidRPr="00683D95" w:rsidRDefault="00683D95" w:rsidP="00A94FA6">
      <w:pPr>
        <w:pStyle w:val="BodyTextIndent"/>
        <w:ind w:left="360" w:firstLine="0"/>
      </w:pPr>
      <w:r w:rsidRPr="00683D95">
        <w:t xml:space="preserve">Double D GC Pty Ltd </w:t>
      </w:r>
      <w:r w:rsidRPr="00683D95">
        <w:tab/>
      </w:r>
      <w:r w:rsidRPr="00683D95">
        <w:tab/>
      </w:r>
      <w:r w:rsidRPr="00683D95">
        <w:tab/>
      </w:r>
      <w:r w:rsidRPr="00683D95">
        <w:tab/>
        <w:t xml:space="preserve">Daniel De </w:t>
      </w:r>
      <w:proofErr w:type="spellStart"/>
      <w:r w:rsidRPr="00683D95">
        <w:t>Viana</w:t>
      </w:r>
      <w:proofErr w:type="spellEnd"/>
      <w:r w:rsidRPr="00683D95">
        <w:tab/>
      </w:r>
    </w:p>
    <w:p w:rsidR="00A94FA6" w:rsidRPr="00683D95" w:rsidRDefault="00683D95" w:rsidP="00A94FA6">
      <w:pPr>
        <w:pStyle w:val="BodyTextIndent"/>
        <w:ind w:left="360" w:firstLine="0"/>
      </w:pPr>
      <w:r w:rsidRPr="00683D95">
        <w:t xml:space="preserve">Daniel De </w:t>
      </w:r>
      <w:proofErr w:type="spellStart"/>
      <w:r w:rsidRPr="00683D95">
        <w:t>Viana</w:t>
      </w:r>
      <w:proofErr w:type="spellEnd"/>
      <w:r w:rsidR="00A94FA6" w:rsidRPr="00683D95">
        <w:tab/>
      </w:r>
      <w:r w:rsidR="00A94FA6" w:rsidRPr="00683D95">
        <w:tab/>
      </w:r>
      <w:r w:rsidR="00A94FA6" w:rsidRPr="00683D95">
        <w:tab/>
      </w:r>
      <w:r w:rsidR="00A94FA6" w:rsidRPr="00683D95">
        <w:tab/>
        <w:t xml:space="preserve">  </w:t>
      </w:r>
      <w:r w:rsidR="00714D58" w:rsidRPr="00683D95">
        <w:tab/>
      </w:r>
      <w:r w:rsidR="00A94FA6" w:rsidRPr="00683D95">
        <w:t xml:space="preserve"> </w:t>
      </w:r>
    </w:p>
    <w:p w:rsidR="00A94FA6" w:rsidRPr="00683D95" w:rsidRDefault="00A94FA6" w:rsidP="00064C43">
      <w:pPr>
        <w:pStyle w:val="BodyTextIndent"/>
        <w:tabs>
          <w:tab w:val="left" w:pos="5220"/>
        </w:tabs>
        <w:ind w:left="360" w:firstLine="0"/>
      </w:pPr>
    </w:p>
    <w:p w:rsidR="00064C43" w:rsidRPr="00683D95" w:rsidRDefault="00064C43" w:rsidP="00064C43">
      <w:pPr>
        <w:pStyle w:val="BodyTextIndent"/>
        <w:tabs>
          <w:tab w:val="left" w:pos="5220"/>
        </w:tabs>
        <w:ind w:left="360" w:firstLine="0"/>
      </w:pPr>
      <w:r w:rsidRPr="00683D95">
        <w:t xml:space="preserve">Date:        / </w:t>
      </w:r>
      <w:r w:rsidR="00A94FA6" w:rsidRPr="00683D95">
        <w:t xml:space="preserve">  </w:t>
      </w:r>
      <w:r w:rsidRPr="00683D95">
        <w:t xml:space="preserve">   /   </w:t>
      </w:r>
      <w:r w:rsidRPr="00683D95">
        <w:tab/>
        <w:t xml:space="preserve">Date:         /  </w:t>
      </w:r>
      <w:r w:rsidR="00A94FA6" w:rsidRPr="00683D95">
        <w:t xml:space="preserve"> </w:t>
      </w:r>
      <w:r w:rsidRPr="00683D95">
        <w:t xml:space="preserve">   /</w:t>
      </w:r>
    </w:p>
    <w:p w:rsidR="00064C43" w:rsidRPr="00683D95" w:rsidRDefault="00064C43" w:rsidP="00064C43">
      <w:pPr>
        <w:pStyle w:val="BodyTextIndent"/>
        <w:tabs>
          <w:tab w:val="left" w:pos="5220"/>
        </w:tabs>
        <w:ind w:left="360" w:firstLine="0"/>
      </w:pPr>
    </w:p>
    <w:p w:rsidR="00064C43" w:rsidRPr="00683D95" w:rsidRDefault="00064C43" w:rsidP="00064C43">
      <w:pPr>
        <w:pStyle w:val="BodyTextIndent"/>
        <w:tabs>
          <w:tab w:val="left" w:pos="5220"/>
        </w:tabs>
        <w:ind w:left="360" w:firstLine="0"/>
      </w:pPr>
    </w:p>
    <w:p w:rsidR="00064C43" w:rsidRPr="00683D95" w:rsidRDefault="00064C43" w:rsidP="00064C43">
      <w:pPr>
        <w:pStyle w:val="BodyTextIndent"/>
        <w:tabs>
          <w:tab w:val="left" w:pos="5220"/>
        </w:tabs>
        <w:ind w:left="360" w:firstLine="0"/>
      </w:pPr>
    </w:p>
    <w:p w:rsidR="00064C43" w:rsidRPr="00683D95" w:rsidRDefault="00064C43" w:rsidP="00064C43">
      <w:pPr>
        <w:pStyle w:val="BodyTextIndent"/>
        <w:tabs>
          <w:tab w:val="left" w:pos="5220"/>
        </w:tabs>
        <w:ind w:left="360" w:firstLine="0"/>
      </w:pPr>
    </w:p>
    <w:sectPr w:rsidR="00064C43" w:rsidRPr="00683D95"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C5A43"/>
    <w:rsid w:val="001F35FD"/>
    <w:rsid w:val="00274D3E"/>
    <w:rsid w:val="00491D9D"/>
    <w:rsid w:val="004926BC"/>
    <w:rsid w:val="00683D95"/>
    <w:rsid w:val="00714D58"/>
    <w:rsid w:val="007525A8"/>
    <w:rsid w:val="00763993"/>
    <w:rsid w:val="0077178A"/>
    <w:rsid w:val="0078189A"/>
    <w:rsid w:val="00793B45"/>
    <w:rsid w:val="007C5FAE"/>
    <w:rsid w:val="009210C9"/>
    <w:rsid w:val="00A94FA6"/>
    <w:rsid w:val="00AB5C0A"/>
    <w:rsid w:val="00B43FC8"/>
    <w:rsid w:val="00BE51CC"/>
    <w:rsid w:val="00C2051F"/>
    <w:rsid w:val="00C60389"/>
    <w:rsid w:val="00E22EE3"/>
    <w:rsid w:val="00F41EB9"/>
    <w:rsid w:val="00FD41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6C0F7E8-EF45-4B8C-ACF0-459D3985A7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589</Words>
  <Characters>3047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13</cp:revision>
  <dcterms:created xsi:type="dcterms:W3CDTF">2010-08-23T00:57:00Z</dcterms:created>
  <dcterms:modified xsi:type="dcterms:W3CDTF">2023-11-17T00:37:00Z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