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4D5D1" w14:textId="77777777" w:rsidR="00D80826" w:rsidRDefault="00D80826" w:rsidP="005949E1">
      <w:pPr>
        <w:ind w:left="2160"/>
        <w:jc w:val="both"/>
        <w:rPr>
          <w:rFonts w:ascii="Arial" w:hAnsi="Arial"/>
          <w:sz w:val="22"/>
        </w:rPr>
      </w:pPr>
    </w:p>
    <w:p w14:paraId="4E9B68B9" w14:textId="77777777" w:rsidR="00D80826" w:rsidRDefault="00D80826" w:rsidP="005949E1">
      <w:pPr>
        <w:ind w:left="2160"/>
        <w:jc w:val="both"/>
        <w:rPr>
          <w:rFonts w:ascii="Arial" w:hAnsi="Arial"/>
          <w:sz w:val="22"/>
        </w:rPr>
      </w:pPr>
    </w:p>
    <w:p w14:paraId="3B0D6B15" w14:textId="77777777" w:rsidR="00D80826" w:rsidRDefault="00D80826" w:rsidP="005949E1">
      <w:pPr>
        <w:ind w:left="2160"/>
        <w:jc w:val="both"/>
        <w:rPr>
          <w:rFonts w:ascii="Arial" w:hAnsi="Arial"/>
          <w:sz w:val="22"/>
        </w:rPr>
      </w:pPr>
    </w:p>
    <w:p w14:paraId="0CD1D15C" w14:textId="77777777" w:rsidR="00D80826" w:rsidRDefault="00D80826" w:rsidP="005949E1">
      <w:pPr>
        <w:ind w:left="2160"/>
        <w:jc w:val="both"/>
        <w:rPr>
          <w:rFonts w:ascii="Arial" w:hAnsi="Arial"/>
          <w:sz w:val="22"/>
        </w:rPr>
      </w:pPr>
    </w:p>
    <w:p w14:paraId="685969E5"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49406E3A"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47D18076" w14:textId="77777777" w:rsidR="005949E1" w:rsidRDefault="005949E1" w:rsidP="005949E1">
      <w:pPr>
        <w:ind w:left="2160"/>
        <w:jc w:val="both"/>
        <w:rPr>
          <w:rFonts w:ascii="Arial" w:hAnsi="Arial" w:cs="Arial"/>
          <w:b/>
          <w:sz w:val="22"/>
          <w:szCs w:val="22"/>
        </w:rPr>
      </w:pPr>
    </w:p>
    <w:p w14:paraId="4B39FD18" w14:textId="1FCE703B"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941332">
        <w:rPr>
          <w:rFonts w:ascii="Arial" w:hAnsi="Arial" w:cs="Arial"/>
          <w:b/>
          <w:color w:val="0000FF"/>
          <w:sz w:val="23"/>
          <w:szCs w:val="23"/>
        </w:rPr>
        <w:t>Denboer &amp; Associates Pty Ltd No 2 Fund</w:t>
      </w:r>
    </w:p>
    <w:p w14:paraId="0AAF4D7A"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023BE6F0" w14:textId="0BAF1833"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941332">
        <w:rPr>
          <w:rFonts w:ascii="Arial" w:hAnsi="Arial" w:cs="Arial"/>
          <w:b/>
          <w:color w:val="0000FF"/>
          <w:sz w:val="23"/>
          <w:szCs w:val="23"/>
        </w:rPr>
        <w:t>2 Waterview Parade ASCOT, WA 6104</w:t>
      </w:r>
    </w:p>
    <w:p w14:paraId="4F173FB5" w14:textId="1FB20101"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941332">
        <w:rPr>
          <w:rFonts w:ascii="Arial" w:hAnsi="Arial" w:cs="Arial"/>
          <w:b/>
          <w:color w:val="0000FF"/>
          <w:sz w:val="23"/>
          <w:szCs w:val="23"/>
        </w:rPr>
        <w:t>9 September 20</w:t>
      </w:r>
      <w:r w:rsidR="00DD151B">
        <w:rPr>
          <w:rFonts w:ascii="Arial" w:hAnsi="Arial" w:cs="Arial"/>
          <w:b/>
          <w:color w:val="0000FF"/>
          <w:sz w:val="23"/>
          <w:szCs w:val="23"/>
        </w:rPr>
        <w:t>20</w:t>
      </w:r>
    </w:p>
    <w:p w14:paraId="49F3D746" w14:textId="77777777" w:rsidR="00D80826" w:rsidRPr="00D80826" w:rsidRDefault="00D80826" w:rsidP="005949E1">
      <w:pPr>
        <w:jc w:val="both"/>
        <w:rPr>
          <w:rFonts w:ascii="Arial" w:hAnsi="Arial" w:cs="Arial"/>
          <w:b/>
          <w:sz w:val="22"/>
          <w:szCs w:val="22"/>
        </w:rPr>
      </w:pPr>
    </w:p>
    <w:p w14:paraId="2A968514" w14:textId="77777777" w:rsidR="00D80826" w:rsidRPr="00D80826" w:rsidRDefault="00D80826" w:rsidP="005949E1">
      <w:pPr>
        <w:jc w:val="both"/>
        <w:rPr>
          <w:rFonts w:ascii="Arial" w:hAnsi="Arial" w:cs="Arial"/>
          <w:b/>
          <w:sz w:val="22"/>
          <w:szCs w:val="22"/>
        </w:rPr>
      </w:pPr>
    </w:p>
    <w:p w14:paraId="6B7C1246" w14:textId="62472BE6"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5949E1" w:rsidRPr="00FC71B9">
        <w:rPr>
          <w:rFonts w:ascii="Arial" w:hAnsi="Arial" w:cs="Arial"/>
          <w:color w:val="0000FF"/>
          <w:sz w:val="22"/>
          <w:szCs w:val="22"/>
        </w:rPr>
        <w:t xml:space="preserve">Mr </w:t>
      </w:r>
      <w:r w:rsidR="00941332">
        <w:rPr>
          <w:rFonts w:ascii="Arial" w:hAnsi="Arial" w:cs="Arial"/>
          <w:color w:val="0000FF"/>
          <w:sz w:val="22"/>
          <w:szCs w:val="22"/>
        </w:rPr>
        <w:t xml:space="preserve">A.B. Denboer </w:t>
      </w:r>
      <w:r w:rsidR="00CF1E25">
        <w:rPr>
          <w:rFonts w:ascii="Arial" w:hAnsi="Arial" w:cs="Arial"/>
          <w:color w:val="0000FF"/>
          <w:sz w:val="22"/>
          <w:szCs w:val="22"/>
        </w:rPr>
        <w:t>Trustee</w:t>
      </w:r>
    </w:p>
    <w:p w14:paraId="11D6089C" w14:textId="1F7EA5A5"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5949E1" w:rsidRPr="00FC71B9">
        <w:rPr>
          <w:rFonts w:ascii="Arial" w:hAnsi="Arial" w:cs="Arial"/>
          <w:color w:val="0000FF"/>
          <w:sz w:val="22"/>
          <w:szCs w:val="22"/>
        </w:rPr>
        <w:t>M</w:t>
      </w:r>
      <w:r w:rsidR="00941332">
        <w:rPr>
          <w:rFonts w:ascii="Arial" w:hAnsi="Arial" w:cs="Arial"/>
          <w:color w:val="0000FF"/>
          <w:sz w:val="22"/>
          <w:szCs w:val="22"/>
        </w:rPr>
        <w:t>r</w:t>
      </w:r>
      <w:r w:rsidR="005949E1" w:rsidRPr="00FC71B9">
        <w:rPr>
          <w:rFonts w:ascii="Arial" w:hAnsi="Arial" w:cs="Arial"/>
          <w:color w:val="0000FF"/>
          <w:sz w:val="22"/>
          <w:szCs w:val="22"/>
        </w:rPr>
        <w:t xml:space="preserve">s </w:t>
      </w:r>
      <w:r w:rsidR="00941332">
        <w:rPr>
          <w:rFonts w:ascii="Arial" w:hAnsi="Arial" w:cs="Arial"/>
          <w:color w:val="0000FF"/>
          <w:sz w:val="22"/>
          <w:szCs w:val="22"/>
        </w:rPr>
        <w:t xml:space="preserve">A.E. Denboer </w:t>
      </w:r>
      <w:r w:rsidR="00CF1E25">
        <w:rPr>
          <w:rFonts w:ascii="Arial" w:hAnsi="Arial" w:cs="Arial"/>
          <w:color w:val="0000FF"/>
          <w:sz w:val="22"/>
          <w:szCs w:val="22"/>
        </w:rPr>
        <w:t>Trustee</w:t>
      </w:r>
    </w:p>
    <w:p w14:paraId="5B1501D7" w14:textId="77777777" w:rsidR="00D80826" w:rsidRPr="00D80826" w:rsidRDefault="00D80826" w:rsidP="005949E1">
      <w:pPr>
        <w:jc w:val="both"/>
        <w:rPr>
          <w:rFonts w:ascii="Arial" w:hAnsi="Arial" w:cs="Arial"/>
          <w:sz w:val="22"/>
          <w:szCs w:val="22"/>
        </w:rPr>
      </w:pPr>
    </w:p>
    <w:p w14:paraId="4FF485A6" w14:textId="5915E4BE"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941332">
        <w:rPr>
          <w:rFonts w:ascii="Arial" w:hAnsi="Arial" w:cs="Arial"/>
          <w:color w:val="0000FF"/>
          <w:sz w:val="22"/>
          <w:szCs w:val="22"/>
        </w:rPr>
        <w:t>A.B. Denboer</w:t>
      </w:r>
    </w:p>
    <w:p w14:paraId="72B80466" w14:textId="77777777" w:rsidR="00FC71B9" w:rsidRDefault="00FC71B9" w:rsidP="005949E1">
      <w:pPr>
        <w:jc w:val="both"/>
        <w:rPr>
          <w:rFonts w:ascii="Arial" w:hAnsi="Arial" w:cs="Arial"/>
          <w:sz w:val="22"/>
          <w:szCs w:val="22"/>
        </w:rPr>
      </w:pPr>
    </w:p>
    <w:p w14:paraId="188DA7C1" w14:textId="6FB0BD85" w:rsidR="00FC71B9" w:rsidRPr="00FC71B9" w:rsidRDefault="00FC71B9" w:rsidP="00DD151B">
      <w:pPr>
        <w:ind w:left="2160" w:hanging="2160"/>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941332">
        <w:rPr>
          <w:rFonts w:ascii="Arial" w:hAnsi="Arial" w:cs="Arial"/>
          <w:color w:val="0000FF"/>
          <w:sz w:val="22"/>
          <w:szCs w:val="22"/>
        </w:rPr>
        <w:t>Denboer &amp; Associates Pty Ltd No 2 Fund</w:t>
      </w:r>
      <w:r w:rsidRPr="00FC71B9">
        <w:rPr>
          <w:rFonts w:ascii="Arial" w:hAnsi="Arial" w:cs="Arial"/>
          <w:color w:val="0000FF"/>
          <w:sz w:val="22"/>
          <w:szCs w:val="22"/>
        </w:rPr>
        <w:t>.</w:t>
      </w:r>
    </w:p>
    <w:p w14:paraId="0D6963C5" w14:textId="77777777" w:rsidR="00FC71B9" w:rsidRPr="00D80826" w:rsidRDefault="00FC71B9" w:rsidP="005949E1">
      <w:pPr>
        <w:jc w:val="both"/>
        <w:rPr>
          <w:rFonts w:ascii="Arial" w:hAnsi="Arial" w:cs="Arial"/>
          <w:sz w:val="22"/>
          <w:szCs w:val="22"/>
        </w:rPr>
      </w:pPr>
    </w:p>
    <w:p w14:paraId="1F252913"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6FA593B1"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t>meeting had been signed as true record.</w:t>
      </w:r>
    </w:p>
    <w:p w14:paraId="3E1FECAE" w14:textId="77777777" w:rsidR="00D80826" w:rsidRPr="00D80826" w:rsidRDefault="00D80826" w:rsidP="005949E1">
      <w:pPr>
        <w:jc w:val="both"/>
        <w:rPr>
          <w:rFonts w:ascii="Arial" w:hAnsi="Arial" w:cs="Arial"/>
          <w:sz w:val="22"/>
          <w:szCs w:val="22"/>
        </w:rPr>
      </w:pPr>
    </w:p>
    <w:p w14:paraId="69C7A0F5" w14:textId="523938E0" w:rsidR="005949E1" w:rsidRDefault="00D80826" w:rsidP="00DD151B">
      <w:pPr>
        <w:ind w:left="2160" w:hanging="2160"/>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w:t>
      </w:r>
    </w:p>
    <w:p w14:paraId="2A76B75D" w14:textId="0CB78007" w:rsidR="00D80826" w:rsidRPr="00D80826" w:rsidRDefault="00D80826" w:rsidP="00DD151B">
      <w:pPr>
        <w:ind w:left="2160" w:hanging="2160"/>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DD151B" w:rsidRPr="00DD151B">
        <w:rPr>
          <w:rFonts w:ascii="Arial" w:hAnsi="Arial" w:cs="Arial"/>
          <w:bCs/>
          <w:sz w:val="22"/>
          <w:szCs w:val="22"/>
        </w:rPr>
        <w:t>prepared</w:t>
      </w:r>
      <w:r w:rsidR="00DD151B">
        <w:rPr>
          <w:rFonts w:ascii="Arial" w:hAnsi="Arial" w:cs="Arial"/>
          <w:b/>
          <w:sz w:val="22"/>
          <w:szCs w:val="22"/>
        </w:rPr>
        <w:t xml:space="preserve"> </w:t>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w:t>
      </w:r>
    </w:p>
    <w:p w14:paraId="70AADAF4" w14:textId="7F82FADC" w:rsidR="005949E1"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00DD151B" w:rsidRPr="00DD151B">
        <w:rPr>
          <w:rFonts w:ascii="Arial" w:hAnsi="Arial" w:cs="Arial"/>
          <w:bCs/>
          <w:sz w:val="22"/>
          <w:szCs w:val="22"/>
        </w:rPr>
        <w:t>opinion of the</w:t>
      </w:r>
      <w:r w:rsidR="00DD151B">
        <w:rPr>
          <w:rFonts w:ascii="Arial" w:hAnsi="Arial" w:cs="Arial"/>
          <w:b/>
          <w:sz w:val="22"/>
          <w:szCs w:val="22"/>
        </w:rPr>
        <w:t xml:space="preserve"> </w:t>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w:t>
      </w:r>
      <w:r w:rsidR="005949E1">
        <w:rPr>
          <w:rFonts w:ascii="Arial" w:hAnsi="Arial" w:cs="Arial"/>
          <w:sz w:val="22"/>
          <w:szCs w:val="22"/>
        </w:rPr>
        <w:t xml:space="preserve"> </w:t>
      </w:r>
      <w:r w:rsidRPr="00D80826">
        <w:rPr>
          <w:rFonts w:ascii="Arial" w:hAnsi="Arial" w:cs="Arial"/>
          <w:b/>
          <w:sz w:val="22"/>
          <w:szCs w:val="22"/>
        </w:rPr>
        <w:t>Fund</w:t>
      </w:r>
      <w:r w:rsidRPr="00DD151B">
        <w:rPr>
          <w:rFonts w:ascii="Arial" w:hAnsi="Arial" w:cs="Arial"/>
          <w:bCs/>
          <w:sz w:val="22"/>
          <w:szCs w:val="22"/>
        </w:rPr>
        <w:t>:</w:t>
      </w:r>
      <w:r w:rsidR="00DD151B" w:rsidRPr="00DD151B">
        <w:rPr>
          <w:rFonts w:ascii="Arial" w:hAnsi="Arial" w:cs="Arial"/>
          <w:bCs/>
          <w:sz w:val="22"/>
          <w:szCs w:val="22"/>
        </w:rPr>
        <w:tab/>
      </w:r>
      <w:r w:rsidR="00DD151B">
        <w:rPr>
          <w:rFonts w:ascii="Arial" w:hAnsi="Arial" w:cs="Arial"/>
          <w:bCs/>
          <w:sz w:val="22"/>
          <w:szCs w:val="22"/>
        </w:rPr>
        <w:tab/>
      </w:r>
      <w:r w:rsidR="00DD151B">
        <w:rPr>
          <w:rFonts w:ascii="Arial" w:hAnsi="Arial" w:cs="Arial"/>
          <w:bCs/>
          <w:sz w:val="22"/>
          <w:szCs w:val="22"/>
        </w:rPr>
        <w:tab/>
      </w:r>
      <w:r w:rsidR="00DD151B" w:rsidRPr="00DD151B">
        <w:rPr>
          <w:rFonts w:ascii="Arial" w:hAnsi="Arial" w:cs="Arial"/>
          <w:bCs/>
          <w:sz w:val="22"/>
          <w:szCs w:val="22"/>
        </w:rPr>
        <w:t>reporting entity</w:t>
      </w:r>
      <w:r w:rsidR="00DD151B">
        <w:rPr>
          <w:rFonts w:ascii="Arial" w:hAnsi="Arial" w:cs="Arial"/>
          <w:b/>
          <w:sz w:val="22"/>
          <w:szCs w:val="22"/>
        </w:rPr>
        <w:t xml:space="preserve"> </w:t>
      </w:r>
      <w:r w:rsidR="00DD151B" w:rsidRPr="00DD151B">
        <w:rPr>
          <w:rFonts w:ascii="Arial" w:hAnsi="Arial" w:cs="Arial"/>
          <w:bCs/>
          <w:sz w:val="22"/>
          <w:szCs w:val="22"/>
        </w:rPr>
        <w:t xml:space="preserve">and </w:t>
      </w:r>
      <w:r w:rsidRPr="00D80826">
        <w:rPr>
          <w:rFonts w:ascii="Arial" w:hAnsi="Arial" w:cs="Arial"/>
          <w:sz w:val="22"/>
          <w:szCs w:val="22"/>
        </w:rPr>
        <w:t>therefore is not required to comply with all</w:t>
      </w:r>
      <w:r w:rsidR="005949E1">
        <w:rPr>
          <w:rFonts w:ascii="Arial" w:hAnsi="Arial" w:cs="Arial"/>
          <w:sz w:val="22"/>
          <w:szCs w:val="22"/>
        </w:rPr>
        <w:t xml:space="preserve"> </w:t>
      </w:r>
      <w:r w:rsidR="00DD151B">
        <w:rPr>
          <w:rFonts w:ascii="Arial" w:hAnsi="Arial" w:cs="Arial"/>
          <w:sz w:val="22"/>
          <w:szCs w:val="22"/>
        </w:rPr>
        <w:tab/>
      </w:r>
      <w:r w:rsidR="005949E1">
        <w:rPr>
          <w:rFonts w:ascii="Arial" w:hAnsi="Arial" w:cs="Arial"/>
          <w:sz w:val="22"/>
          <w:szCs w:val="22"/>
        </w:rPr>
        <w:t xml:space="preserve"> </w:t>
      </w:r>
      <w:r w:rsidR="00DD151B">
        <w:rPr>
          <w:rFonts w:ascii="Arial" w:hAnsi="Arial" w:cs="Arial"/>
          <w:sz w:val="22"/>
          <w:szCs w:val="22"/>
        </w:rPr>
        <w:tab/>
      </w:r>
      <w:r w:rsidR="00DD151B">
        <w:rPr>
          <w:rFonts w:ascii="Arial" w:hAnsi="Arial" w:cs="Arial"/>
          <w:sz w:val="22"/>
          <w:szCs w:val="22"/>
        </w:rPr>
        <w:tab/>
        <w:t xml:space="preserve">the Australian Financial </w:t>
      </w:r>
      <w:r w:rsidR="005949E1">
        <w:rPr>
          <w:rFonts w:ascii="Arial" w:hAnsi="Arial" w:cs="Arial"/>
          <w:sz w:val="22"/>
          <w:szCs w:val="22"/>
        </w:rPr>
        <w:t>Standards.</w:t>
      </w:r>
    </w:p>
    <w:p w14:paraId="659EB175" w14:textId="77777777" w:rsidR="005949E1" w:rsidRPr="00D80826" w:rsidRDefault="005949E1" w:rsidP="005949E1">
      <w:pPr>
        <w:jc w:val="both"/>
        <w:rPr>
          <w:rFonts w:ascii="Arial" w:hAnsi="Arial" w:cs="Arial"/>
          <w:sz w:val="22"/>
          <w:szCs w:val="22"/>
        </w:rPr>
      </w:pPr>
    </w:p>
    <w:p w14:paraId="140AC839"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7CAFE9B3" w14:textId="77777777" w:rsidR="00D80826" w:rsidRPr="00D80826" w:rsidRDefault="00D80826" w:rsidP="005949E1">
      <w:pPr>
        <w:ind w:left="2160"/>
        <w:jc w:val="both"/>
        <w:rPr>
          <w:rFonts w:ascii="Arial" w:hAnsi="Arial" w:cs="Arial"/>
          <w:sz w:val="22"/>
          <w:szCs w:val="22"/>
        </w:rPr>
      </w:pPr>
    </w:p>
    <w:p w14:paraId="03A584AC" w14:textId="1D5B33CE"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w:t>
      </w:r>
    </w:p>
    <w:p w14:paraId="7FDF6BB5" w14:textId="179D7461"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DD151B">
        <w:rPr>
          <w:rFonts w:ascii="Arial" w:hAnsi="Arial" w:cs="Arial"/>
          <w:sz w:val="22"/>
          <w:szCs w:val="22"/>
        </w:rPr>
        <w:t xml:space="preserve">Fund </w:t>
      </w:r>
      <w:r w:rsidR="005949E1">
        <w:rPr>
          <w:rFonts w:ascii="Arial" w:hAnsi="Arial" w:cs="Arial"/>
          <w:sz w:val="22"/>
          <w:szCs w:val="22"/>
        </w:rPr>
        <w:t xml:space="preserve">be </w:t>
      </w:r>
      <w:r w:rsidRPr="00D80826">
        <w:rPr>
          <w:rFonts w:ascii="Arial" w:hAnsi="Arial" w:cs="Arial"/>
          <w:sz w:val="22"/>
          <w:szCs w:val="22"/>
        </w:rPr>
        <w:t>signed.</w:t>
      </w:r>
    </w:p>
    <w:p w14:paraId="39340BEB" w14:textId="77777777" w:rsidR="00D80826" w:rsidRPr="00D80826" w:rsidRDefault="00D80826" w:rsidP="005949E1">
      <w:pPr>
        <w:jc w:val="both"/>
        <w:rPr>
          <w:rFonts w:ascii="Arial" w:hAnsi="Arial" w:cs="Arial"/>
          <w:sz w:val="22"/>
          <w:szCs w:val="22"/>
        </w:rPr>
      </w:pPr>
    </w:p>
    <w:p w14:paraId="1CBA184E"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2A432B53"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6DE1D176" w14:textId="7EC19DDF"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001C0A38" w:rsidRPr="00941332">
        <w:rPr>
          <w:rFonts w:ascii="Arial" w:hAnsi="Arial" w:cs="Arial"/>
          <w:color w:val="7030A0"/>
          <w:sz w:val="22"/>
          <w:szCs w:val="22"/>
        </w:rPr>
        <w:t>30</w:t>
      </w:r>
      <w:r w:rsidR="001C0A38" w:rsidRPr="00941332">
        <w:rPr>
          <w:rFonts w:ascii="Arial" w:hAnsi="Arial" w:cs="Arial"/>
          <w:color w:val="7030A0"/>
          <w:sz w:val="22"/>
          <w:szCs w:val="22"/>
          <w:vertAlign w:val="superscript"/>
        </w:rPr>
        <w:t>th</w:t>
      </w:r>
      <w:r w:rsidR="001C0A38" w:rsidRPr="00941332">
        <w:rPr>
          <w:rFonts w:ascii="Arial" w:hAnsi="Arial" w:cs="Arial"/>
          <w:color w:val="7030A0"/>
          <w:sz w:val="22"/>
          <w:szCs w:val="22"/>
        </w:rPr>
        <w:t xml:space="preserve"> June</w:t>
      </w:r>
      <w:r w:rsidR="001C0A38" w:rsidRPr="00FC71B9">
        <w:rPr>
          <w:rFonts w:ascii="Arial" w:hAnsi="Arial" w:cs="Arial"/>
          <w:color w:val="0000FF"/>
          <w:sz w:val="22"/>
          <w:szCs w:val="22"/>
        </w:rPr>
        <w:t xml:space="preserve"> 20</w:t>
      </w:r>
      <w:r w:rsidR="001C0A38">
        <w:rPr>
          <w:rFonts w:ascii="Arial" w:hAnsi="Arial" w:cs="Arial"/>
          <w:color w:val="0000FF"/>
          <w:sz w:val="22"/>
          <w:szCs w:val="22"/>
        </w:rPr>
        <w:t>20</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0B2D928F" w14:textId="77777777" w:rsidR="00D80826" w:rsidRPr="00D80826" w:rsidRDefault="00D80826" w:rsidP="005949E1">
      <w:pPr>
        <w:ind w:left="1440" w:firstLine="720"/>
        <w:jc w:val="both"/>
        <w:rPr>
          <w:rFonts w:ascii="Arial" w:hAnsi="Arial" w:cs="Arial"/>
          <w:sz w:val="22"/>
          <w:szCs w:val="22"/>
        </w:rPr>
      </w:pPr>
    </w:p>
    <w:p w14:paraId="6E5C20A2"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5F5CD8E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07F98E5B" w14:textId="77777777" w:rsidR="00D80826" w:rsidRDefault="00D80826" w:rsidP="005949E1">
      <w:pPr>
        <w:ind w:left="2160" w:hanging="2160"/>
        <w:jc w:val="both"/>
        <w:rPr>
          <w:rFonts w:ascii="Arial" w:hAnsi="Arial" w:cs="Arial"/>
          <w:sz w:val="22"/>
          <w:szCs w:val="22"/>
        </w:rPr>
      </w:pPr>
    </w:p>
    <w:p w14:paraId="0BD6DF47" w14:textId="77777777" w:rsidR="00FC71B9" w:rsidRDefault="00FC71B9" w:rsidP="005949E1">
      <w:pPr>
        <w:ind w:left="2160" w:hanging="2160"/>
        <w:jc w:val="both"/>
        <w:rPr>
          <w:rFonts w:ascii="Arial" w:hAnsi="Arial" w:cs="Arial"/>
          <w:sz w:val="22"/>
          <w:szCs w:val="22"/>
        </w:rPr>
      </w:pPr>
    </w:p>
    <w:p w14:paraId="4D404C55" w14:textId="77777777" w:rsidR="00FC71B9" w:rsidRDefault="00FC71B9" w:rsidP="005949E1">
      <w:pPr>
        <w:ind w:left="2160" w:hanging="2160"/>
        <w:jc w:val="both"/>
        <w:rPr>
          <w:rFonts w:ascii="Arial" w:hAnsi="Arial" w:cs="Arial"/>
          <w:sz w:val="22"/>
          <w:szCs w:val="22"/>
        </w:rPr>
      </w:pPr>
    </w:p>
    <w:p w14:paraId="36BD32CB" w14:textId="77777777" w:rsidR="00FC71B9" w:rsidRDefault="00FC71B9" w:rsidP="005949E1">
      <w:pPr>
        <w:ind w:left="2160" w:hanging="2160"/>
        <w:jc w:val="both"/>
        <w:rPr>
          <w:rFonts w:ascii="Arial" w:hAnsi="Arial" w:cs="Arial"/>
          <w:sz w:val="22"/>
          <w:szCs w:val="22"/>
        </w:rPr>
      </w:pPr>
    </w:p>
    <w:p w14:paraId="13526E6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5C61A13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28734966" w14:textId="77777777" w:rsidR="00D80826" w:rsidRPr="00D80826" w:rsidRDefault="00D80826" w:rsidP="005949E1">
      <w:pPr>
        <w:ind w:left="2160" w:hanging="2160"/>
        <w:jc w:val="both"/>
        <w:rPr>
          <w:rFonts w:ascii="Arial" w:hAnsi="Arial" w:cs="Arial"/>
          <w:sz w:val="22"/>
          <w:szCs w:val="22"/>
        </w:rPr>
      </w:pPr>
    </w:p>
    <w:p w14:paraId="69D39649" w14:textId="6523A005"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ended </w:t>
      </w:r>
      <w:r w:rsidRPr="00941332">
        <w:rPr>
          <w:rFonts w:ascii="Arial" w:hAnsi="Arial" w:cs="Arial"/>
          <w:color w:val="7030A0"/>
          <w:sz w:val="22"/>
          <w:szCs w:val="22"/>
        </w:rPr>
        <w:t>30</w:t>
      </w:r>
      <w:r w:rsidRPr="00941332">
        <w:rPr>
          <w:rFonts w:ascii="Arial" w:hAnsi="Arial" w:cs="Arial"/>
          <w:color w:val="7030A0"/>
          <w:sz w:val="22"/>
          <w:szCs w:val="22"/>
          <w:vertAlign w:val="superscript"/>
        </w:rPr>
        <w:t>th</w:t>
      </w:r>
      <w:r w:rsidRPr="00941332">
        <w:rPr>
          <w:rFonts w:ascii="Arial" w:hAnsi="Arial" w:cs="Arial"/>
          <w:color w:val="7030A0"/>
          <w:sz w:val="22"/>
          <w:szCs w:val="22"/>
        </w:rPr>
        <w:t xml:space="preserve"> </w:t>
      </w:r>
      <w:r w:rsidR="00941332" w:rsidRPr="00941332">
        <w:rPr>
          <w:rFonts w:ascii="Arial" w:hAnsi="Arial" w:cs="Arial"/>
          <w:color w:val="7030A0"/>
          <w:sz w:val="22"/>
          <w:szCs w:val="22"/>
        </w:rPr>
        <w:t>June</w:t>
      </w:r>
      <w:r w:rsidR="00941332" w:rsidRPr="00FC71B9">
        <w:rPr>
          <w:rFonts w:ascii="Arial" w:hAnsi="Arial" w:cs="Arial"/>
          <w:color w:val="0000FF"/>
          <w:sz w:val="22"/>
          <w:szCs w:val="22"/>
        </w:rPr>
        <w:t xml:space="preserve"> 20</w:t>
      </w:r>
      <w:r w:rsidR="00DD151B">
        <w:rPr>
          <w:rFonts w:ascii="Arial" w:hAnsi="Arial" w:cs="Arial"/>
          <w:color w:val="0000FF"/>
          <w:sz w:val="22"/>
          <w:szCs w:val="22"/>
        </w:rPr>
        <w:t>20</w:t>
      </w:r>
      <w:r w:rsidRPr="00D80826">
        <w:rPr>
          <w:rFonts w:ascii="Arial" w:hAnsi="Arial" w:cs="Arial"/>
          <w:sz w:val="22"/>
          <w:szCs w:val="22"/>
        </w:rPr>
        <w:t>.</w:t>
      </w:r>
    </w:p>
    <w:p w14:paraId="75394C40" w14:textId="77777777" w:rsidR="00D80826" w:rsidRPr="00D80826" w:rsidRDefault="00D80826" w:rsidP="005949E1">
      <w:pPr>
        <w:ind w:left="2160" w:hanging="2160"/>
        <w:jc w:val="both"/>
        <w:rPr>
          <w:rFonts w:ascii="Arial" w:hAnsi="Arial" w:cs="Arial"/>
          <w:b/>
          <w:sz w:val="22"/>
          <w:szCs w:val="22"/>
        </w:rPr>
      </w:pPr>
    </w:p>
    <w:p w14:paraId="322F3C5F" w14:textId="77777777"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Tony Boys,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592BCB92" w14:textId="77777777" w:rsidR="005949E1" w:rsidRDefault="005949E1" w:rsidP="005949E1">
      <w:pPr>
        <w:ind w:left="2160" w:hanging="2160"/>
        <w:jc w:val="both"/>
        <w:rPr>
          <w:rFonts w:ascii="Arial" w:hAnsi="Arial" w:cs="Arial"/>
          <w:sz w:val="22"/>
          <w:szCs w:val="22"/>
        </w:rPr>
      </w:pPr>
    </w:p>
    <w:p w14:paraId="002D8FB0" w14:textId="0B7A8FDC"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941332">
        <w:rPr>
          <w:rFonts w:ascii="Arial" w:hAnsi="Arial" w:cs="Arial"/>
          <w:sz w:val="22"/>
          <w:szCs w:val="22"/>
        </w:rPr>
        <w:t xml:space="preserve">AC Chartered Accountants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30 June 20</w:t>
      </w:r>
      <w:r w:rsidR="00941332">
        <w:rPr>
          <w:rFonts w:ascii="Arial" w:hAnsi="Arial" w:cs="Arial"/>
          <w:color w:val="0000FF"/>
          <w:sz w:val="22"/>
          <w:szCs w:val="22"/>
        </w:rPr>
        <w:t>2</w:t>
      </w:r>
      <w:r w:rsidR="00DD151B">
        <w:rPr>
          <w:rFonts w:ascii="Arial" w:hAnsi="Arial" w:cs="Arial"/>
          <w:color w:val="0000FF"/>
          <w:sz w:val="22"/>
          <w:szCs w:val="22"/>
        </w:rPr>
        <w:t>1</w:t>
      </w:r>
      <w:r w:rsidRPr="00D80826">
        <w:rPr>
          <w:rFonts w:ascii="Arial" w:hAnsi="Arial" w:cs="Arial"/>
          <w:sz w:val="22"/>
          <w:szCs w:val="22"/>
        </w:rPr>
        <w:t>.</w:t>
      </w:r>
    </w:p>
    <w:p w14:paraId="6EEDF8C6" w14:textId="77777777" w:rsidR="00D80826" w:rsidRPr="00D80826" w:rsidRDefault="00D80826" w:rsidP="005949E1">
      <w:pPr>
        <w:ind w:left="2160" w:hanging="2160"/>
        <w:jc w:val="both"/>
        <w:rPr>
          <w:rFonts w:ascii="Arial" w:hAnsi="Arial" w:cs="Arial"/>
          <w:b/>
          <w:sz w:val="22"/>
          <w:szCs w:val="22"/>
        </w:rPr>
      </w:pPr>
    </w:p>
    <w:p w14:paraId="3A6DB9B8"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1E7A9E63" w14:textId="77777777" w:rsidR="00D80826" w:rsidRPr="00D80826" w:rsidRDefault="00D80826" w:rsidP="005949E1">
      <w:pPr>
        <w:ind w:left="2160" w:hanging="2160"/>
        <w:jc w:val="both"/>
        <w:rPr>
          <w:rFonts w:ascii="Arial" w:hAnsi="Arial" w:cs="Arial"/>
          <w:b/>
          <w:sz w:val="22"/>
          <w:szCs w:val="22"/>
        </w:rPr>
      </w:pPr>
    </w:p>
    <w:p w14:paraId="611B0DEF" w14:textId="77777777" w:rsidR="00D80826" w:rsidRPr="00D80826" w:rsidRDefault="00D80826" w:rsidP="005949E1">
      <w:pPr>
        <w:ind w:left="2160" w:hanging="2160"/>
        <w:jc w:val="both"/>
        <w:rPr>
          <w:rFonts w:ascii="Arial" w:hAnsi="Arial" w:cs="Arial"/>
          <w:b/>
          <w:sz w:val="22"/>
          <w:szCs w:val="22"/>
        </w:rPr>
      </w:pPr>
    </w:p>
    <w:p w14:paraId="65F27F16"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23025319"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2B3AB356" w14:textId="77777777" w:rsidR="00D80826" w:rsidRPr="00D80826" w:rsidRDefault="00D80826" w:rsidP="005949E1">
      <w:pPr>
        <w:ind w:left="2160" w:hanging="2160"/>
        <w:jc w:val="both"/>
        <w:rPr>
          <w:rFonts w:ascii="Arial" w:hAnsi="Arial" w:cs="Arial"/>
          <w:sz w:val="22"/>
          <w:szCs w:val="22"/>
        </w:rPr>
      </w:pPr>
    </w:p>
    <w:p w14:paraId="05FEA823" w14:textId="77777777" w:rsidR="00FC71B9" w:rsidRDefault="00FC71B9" w:rsidP="005949E1">
      <w:pPr>
        <w:ind w:left="2160" w:hanging="2160"/>
        <w:jc w:val="both"/>
        <w:rPr>
          <w:rFonts w:ascii="Arial" w:hAnsi="Arial" w:cs="Arial"/>
          <w:sz w:val="22"/>
          <w:szCs w:val="22"/>
        </w:rPr>
      </w:pPr>
    </w:p>
    <w:p w14:paraId="1584FB8B"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29B2B925"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48759C61" w14:textId="77777777" w:rsidR="00FC71B9" w:rsidRDefault="00FC71B9" w:rsidP="00FC71B9">
      <w:pPr>
        <w:suppressAutoHyphens/>
        <w:ind w:right="119"/>
        <w:jc w:val="both"/>
        <w:rPr>
          <w:rFonts w:ascii="Arial" w:hAnsi="Arial" w:cs="Arial"/>
          <w:sz w:val="22"/>
          <w:szCs w:val="22"/>
        </w:rPr>
      </w:pPr>
    </w:p>
    <w:p w14:paraId="62FD0A35"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207D6C59" w14:textId="77777777" w:rsidR="009F319F" w:rsidRDefault="009F319F" w:rsidP="005949E1">
      <w:pPr>
        <w:suppressAutoHyphens/>
        <w:ind w:left="4320" w:right="119" w:hanging="4320"/>
        <w:jc w:val="both"/>
        <w:rPr>
          <w:rFonts w:ascii="Arial" w:hAnsi="Arial"/>
          <w:spacing w:val="-3"/>
          <w:sz w:val="22"/>
        </w:rPr>
      </w:pPr>
    </w:p>
    <w:p w14:paraId="06B244B0" w14:textId="77777777" w:rsidR="009F319F" w:rsidRDefault="009F319F" w:rsidP="005949E1">
      <w:pPr>
        <w:suppressAutoHyphens/>
        <w:ind w:left="4320" w:right="119" w:hanging="4320"/>
        <w:jc w:val="both"/>
        <w:rPr>
          <w:rFonts w:ascii="Arial" w:hAnsi="Arial"/>
          <w:spacing w:val="-3"/>
          <w:sz w:val="22"/>
        </w:rPr>
      </w:pPr>
    </w:p>
    <w:p w14:paraId="0001C9D1" w14:textId="77777777" w:rsidR="009F319F" w:rsidRDefault="009F319F" w:rsidP="005949E1">
      <w:pPr>
        <w:suppressAutoHyphens/>
        <w:ind w:left="4320" w:right="119" w:hanging="4320"/>
        <w:jc w:val="both"/>
        <w:rPr>
          <w:rFonts w:ascii="Arial" w:hAnsi="Arial"/>
          <w:spacing w:val="-3"/>
          <w:sz w:val="22"/>
        </w:rPr>
      </w:pPr>
    </w:p>
    <w:p w14:paraId="5FA7FB0A" w14:textId="77777777" w:rsidR="00FC71B9" w:rsidRDefault="00FC71B9" w:rsidP="00FC71B9">
      <w:pPr>
        <w:suppressAutoHyphens/>
        <w:ind w:right="119"/>
        <w:jc w:val="both"/>
        <w:rPr>
          <w:rFonts w:ascii="Arial" w:hAnsi="Arial"/>
          <w:spacing w:val="-3"/>
          <w:sz w:val="22"/>
        </w:rPr>
      </w:pPr>
    </w:p>
    <w:p w14:paraId="4A569D9A" w14:textId="77777777" w:rsidR="00FC71B9" w:rsidRDefault="00FC71B9" w:rsidP="00FC71B9">
      <w:pPr>
        <w:suppressAutoHyphens/>
        <w:ind w:right="119"/>
        <w:jc w:val="both"/>
        <w:rPr>
          <w:rFonts w:ascii="Arial" w:hAnsi="Arial"/>
          <w:spacing w:val="-3"/>
          <w:sz w:val="22"/>
        </w:rPr>
      </w:pPr>
    </w:p>
    <w:p w14:paraId="77E90505"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4172761F" w14:textId="160D9CF2"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941332">
        <w:rPr>
          <w:rFonts w:ascii="Arial" w:hAnsi="Arial"/>
          <w:color w:val="0000FF"/>
          <w:spacing w:val="-3"/>
          <w:sz w:val="22"/>
        </w:rPr>
        <w:t xml:space="preserve">A.B. </w:t>
      </w:r>
      <w:r w:rsidR="00193D1D">
        <w:rPr>
          <w:rFonts w:ascii="Arial" w:hAnsi="Arial"/>
          <w:color w:val="0000FF"/>
          <w:spacing w:val="-3"/>
          <w:sz w:val="22"/>
        </w:rPr>
        <w:t>Denboer (</w:t>
      </w:r>
      <w:r w:rsidR="00CF1E25">
        <w:rPr>
          <w:rFonts w:ascii="Arial" w:hAnsi="Arial"/>
          <w:color w:val="0000FF"/>
          <w:spacing w:val="-3"/>
          <w:sz w:val="22"/>
        </w:rPr>
        <w:t>Trustee</w:t>
      </w:r>
      <w:r w:rsidR="00941332">
        <w:rPr>
          <w:rFonts w:ascii="Arial" w:hAnsi="Arial"/>
          <w:color w:val="0000FF"/>
          <w:spacing w:val="-3"/>
          <w:sz w:val="22"/>
        </w:rPr>
        <w:t>)</w:t>
      </w:r>
    </w:p>
    <w:p w14:paraId="41D07FE8" w14:textId="0308F262" w:rsidR="00D80826" w:rsidRDefault="009F319F" w:rsidP="00193D1D">
      <w:pPr>
        <w:suppressAutoHyphens/>
        <w:ind w:left="4320" w:right="119" w:hanging="4320"/>
        <w:jc w:val="both"/>
        <w:rPr>
          <w:rFonts w:ascii="Arial" w:hAnsi="Arial"/>
        </w:rPr>
      </w:pPr>
      <w:r>
        <w:rPr>
          <w:rFonts w:ascii="Arial" w:hAnsi="Arial"/>
          <w:spacing w:val="-3"/>
          <w:sz w:val="22"/>
        </w:rPr>
        <w:t>Chair</w:t>
      </w:r>
      <w:r w:rsidR="00FC71B9">
        <w:rPr>
          <w:rFonts w:ascii="Arial" w:hAnsi="Arial"/>
          <w:spacing w:val="-3"/>
          <w:sz w:val="22"/>
        </w:rPr>
        <w:t>person</w:t>
      </w:r>
    </w:p>
    <w:p w14:paraId="76C7B162" w14:textId="77777777" w:rsidR="00D80826" w:rsidRDefault="00D80826" w:rsidP="005949E1">
      <w:pPr>
        <w:ind w:right="119"/>
        <w:jc w:val="both"/>
        <w:rPr>
          <w:rFonts w:ascii="Arial" w:hAnsi="Arial"/>
        </w:rPr>
      </w:pPr>
    </w:p>
    <w:p w14:paraId="65ECEF17" w14:textId="77777777" w:rsidR="00D80826" w:rsidRDefault="00D80826" w:rsidP="005949E1">
      <w:pPr>
        <w:ind w:right="119"/>
        <w:jc w:val="both"/>
        <w:rPr>
          <w:rFonts w:ascii="Arial" w:hAnsi="Arial"/>
        </w:rPr>
      </w:pPr>
    </w:p>
    <w:p w14:paraId="4D9D342D" w14:textId="77777777" w:rsidR="00D80826" w:rsidRDefault="00D80826" w:rsidP="005949E1">
      <w:pPr>
        <w:ind w:right="119"/>
        <w:jc w:val="both"/>
        <w:rPr>
          <w:rFonts w:ascii="Arial" w:hAnsi="Arial"/>
        </w:rPr>
      </w:pPr>
    </w:p>
    <w:p w14:paraId="22E76EA0" w14:textId="77777777" w:rsidR="00D80826" w:rsidRDefault="00D80826" w:rsidP="005949E1">
      <w:pPr>
        <w:ind w:right="119"/>
        <w:jc w:val="both"/>
        <w:rPr>
          <w:rFonts w:ascii="Arial" w:hAnsi="Arial"/>
        </w:rPr>
      </w:pPr>
    </w:p>
    <w:p w14:paraId="238BC685" w14:textId="77777777" w:rsidR="00D80826" w:rsidRDefault="00D80826" w:rsidP="005949E1">
      <w:pPr>
        <w:ind w:right="119"/>
        <w:jc w:val="both"/>
        <w:rPr>
          <w:rFonts w:ascii="Arial" w:hAnsi="Arial"/>
        </w:rPr>
      </w:pPr>
    </w:p>
    <w:p w14:paraId="444BA05A" w14:textId="77777777" w:rsidR="00D80826" w:rsidRDefault="00D80826" w:rsidP="005949E1">
      <w:pPr>
        <w:ind w:right="119"/>
        <w:jc w:val="both"/>
        <w:rPr>
          <w:rFonts w:ascii="Arial" w:hAnsi="Arial"/>
        </w:rPr>
      </w:pPr>
    </w:p>
    <w:p w14:paraId="245373D7" w14:textId="77777777" w:rsidR="00D80826" w:rsidRDefault="00D80826" w:rsidP="005949E1">
      <w:pPr>
        <w:ind w:right="119"/>
        <w:jc w:val="both"/>
        <w:rPr>
          <w:rFonts w:ascii="Arial" w:hAnsi="Arial"/>
        </w:rPr>
      </w:pPr>
    </w:p>
    <w:p w14:paraId="308FBC19" w14:textId="77777777" w:rsidR="00D80826" w:rsidRDefault="00D80826" w:rsidP="005949E1">
      <w:pPr>
        <w:ind w:right="119"/>
        <w:jc w:val="both"/>
        <w:rPr>
          <w:rFonts w:ascii="Arial" w:hAnsi="Arial"/>
        </w:rPr>
      </w:pPr>
    </w:p>
    <w:p w14:paraId="152FDF61" w14:textId="77777777" w:rsidR="00D80826" w:rsidRDefault="00D80826" w:rsidP="005949E1">
      <w:pPr>
        <w:ind w:right="119"/>
        <w:jc w:val="both"/>
        <w:rPr>
          <w:rFonts w:ascii="Arial" w:hAnsi="Arial"/>
        </w:rPr>
      </w:pPr>
    </w:p>
    <w:p w14:paraId="68994CF9" w14:textId="77777777" w:rsidR="00D80826" w:rsidRDefault="00D80826" w:rsidP="005949E1">
      <w:pPr>
        <w:ind w:right="119"/>
        <w:jc w:val="both"/>
        <w:rPr>
          <w:rFonts w:ascii="Arial" w:hAnsi="Arial"/>
        </w:rPr>
      </w:pPr>
    </w:p>
    <w:p w14:paraId="5C2AEA43" w14:textId="77777777" w:rsidR="00D80826" w:rsidRDefault="00D80826" w:rsidP="005949E1">
      <w:pPr>
        <w:ind w:right="119"/>
        <w:jc w:val="both"/>
        <w:rPr>
          <w:rFonts w:ascii="Arial" w:hAnsi="Arial"/>
        </w:rPr>
      </w:pPr>
    </w:p>
    <w:p w14:paraId="7569E534" w14:textId="77777777" w:rsidR="00D80826" w:rsidRDefault="00D80826" w:rsidP="005949E1">
      <w:pPr>
        <w:ind w:right="119"/>
        <w:jc w:val="both"/>
        <w:rPr>
          <w:rFonts w:ascii="Arial" w:hAnsi="Arial"/>
        </w:rPr>
      </w:pPr>
    </w:p>
    <w:p w14:paraId="7A8AE610" w14:textId="77777777" w:rsidR="00D80826" w:rsidRDefault="00D80826" w:rsidP="005949E1">
      <w:pPr>
        <w:ind w:right="119"/>
        <w:jc w:val="both"/>
        <w:rPr>
          <w:rFonts w:ascii="Arial" w:hAnsi="Arial"/>
        </w:rPr>
      </w:pPr>
    </w:p>
    <w:sectPr w:rsidR="00D80826" w:rsidSect="006E5153">
      <w:pgSz w:w="11907" w:h="16840" w:code="9"/>
      <w:pgMar w:top="1440" w:right="1797" w:bottom="1440"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5390F" w14:textId="77777777" w:rsidR="00E253BC" w:rsidRDefault="00E253BC">
      <w:r>
        <w:separator/>
      </w:r>
    </w:p>
  </w:endnote>
  <w:endnote w:type="continuationSeparator" w:id="0">
    <w:p w14:paraId="7D0A4A65" w14:textId="77777777" w:rsidR="00E253BC" w:rsidRDefault="00E2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D74E" w14:textId="77777777" w:rsidR="00E253BC" w:rsidRDefault="00E253BC">
      <w:r>
        <w:separator/>
      </w:r>
    </w:p>
  </w:footnote>
  <w:footnote w:type="continuationSeparator" w:id="0">
    <w:p w14:paraId="7A2B184C" w14:textId="77777777" w:rsidR="00E253BC" w:rsidRDefault="00E2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abstractNumId w:val="4"/>
  </w:num>
  <w:num w:numId="2">
    <w:abstractNumId w:val="9"/>
  </w:num>
  <w:num w:numId="3">
    <w:abstractNumId w:val="13"/>
  </w:num>
  <w:num w:numId="4">
    <w:abstractNumId w:val="8"/>
  </w:num>
  <w:num w:numId="5">
    <w:abstractNumId w:val="11"/>
  </w:num>
  <w:num w:numId="6">
    <w:abstractNumId w:val="6"/>
  </w:num>
  <w:num w:numId="7">
    <w:abstractNumId w:val="12"/>
  </w:num>
  <w:num w:numId="8">
    <w:abstractNumId w:val="16"/>
  </w:num>
  <w:num w:numId="9">
    <w:abstractNumId w:val="2"/>
  </w:num>
  <w:num w:numId="10">
    <w:abstractNumId w:val="5"/>
  </w:num>
  <w:num w:numId="11">
    <w:abstractNumId w:val="10"/>
  </w:num>
  <w:num w:numId="12">
    <w:abstractNumId w:val="3"/>
  </w:num>
  <w:num w:numId="13">
    <w:abstractNumId w:val="1"/>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643A9"/>
    <w:rsid w:val="00077A55"/>
    <w:rsid w:val="000C10BD"/>
    <w:rsid w:val="000D04E3"/>
    <w:rsid w:val="00141C87"/>
    <w:rsid w:val="00190DB1"/>
    <w:rsid w:val="00193D1D"/>
    <w:rsid w:val="001A0CCB"/>
    <w:rsid w:val="001B3F5E"/>
    <w:rsid w:val="001C0A38"/>
    <w:rsid w:val="001E116D"/>
    <w:rsid w:val="002370C4"/>
    <w:rsid w:val="002374E4"/>
    <w:rsid w:val="00255A67"/>
    <w:rsid w:val="002647EB"/>
    <w:rsid w:val="002E440D"/>
    <w:rsid w:val="003627D9"/>
    <w:rsid w:val="00376018"/>
    <w:rsid w:val="003824D3"/>
    <w:rsid w:val="00390ABE"/>
    <w:rsid w:val="003A0D0E"/>
    <w:rsid w:val="003B6257"/>
    <w:rsid w:val="00440E72"/>
    <w:rsid w:val="004858A7"/>
    <w:rsid w:val="004F5DD7"/>
    <w:rsid w:val="00512995"/>
    <w:rsid w:val="00564377"/>
    <w:rsid w:val="00564B92"/>
    <w:rsid w:val="005949E1"/>
    <w:rsid w:val="0060748D"/>
    <w:rsid w:val="006B6E48"/>
    <w:rsid w:val="006E41FB"/>
    <w:rsid w:val="006E5153"/>
    <w:rsid w:val="006E7CC4"/>
    <w:rsid w:val="00731717"/>
    <w:rsid w:val="007317FA"/>
    <w:rsid w:val="007B0276"/>
    <w:rsid w:val="007F11B6"/>
    <w:rsid w:val="00841907"/>
    <w:rsid w:val="00885515"/>
    <w:rsid w:val="008C57BD"/>
    <w:rsid w:val="008D7430"/>
    <w:rsid w:val="009077D0"/>
    <w:rsid w:val="00932A4D"/>
    <w:rsid w:val="00941332"/>
    <w:rsid w:val="009537F4"/>
    <w:rsid w:val="009937D2"/>
    <w:rsid w:val="009A01AD"/>
    <w:rsid w:val="009A20D3"/>
    <w:rsid w:val="009C1E71"/>
    <w:rsid w:val="009F319F"/>
    <w:rsid w:val="00A46C02"/>
    <w:rsid w:val="00A55B6A"/>
    <w:rsid w:val="00A940D5"/>
    <w:rsid w:val="00AE48EC"/>
    <w:rsid w:val="00AF3CD0"/>
    <w:rsid w:val="00B05B6E"/>
    <w:rsid w:val="00B13242"/>
    <w:rsid w:val="00B43570"/>
    <w:rsid w:val="00B443B2"/>
    <w:rsid w:val="00BB5505"/>
    <w:rsid w:val="00C04881"/>
    <w:rsid w:val="00C46165"/>
    <w:rsid w:val="00C729DB"/>
    <w:rsid w:val="00C90E65"/>
    <w:rsid w:val="00CA01FD"/>
    <w:rsid w:val="00CC3291"/>
    <w:rsid w:val="00CC558D"/>
    <w:rsid w:val="00CD7BA4"/>
    <w:rsid w:val="00CF1E25"/>
    <w:rsid w:val="00CF4E75"/>
    <w:rsid w:val="00CF5465"/>
    <w:rsid w:val="00D41963"/>
    <w:rsid w:val="00D51F49"/>
    <w:rsid w:val="00D80826"/>
    <w:rsid w:val="00D93529"/>
    <w:rsid w:val="00DD151B"/>
    <w:rsid w:val="00DE3D50"/>
    <w:rsid w:val="00E253BC"/>
    <w:rsid w:val="00E928DC"/>
    <w:rsid w:val="00EE5059"/>
    <w:rsid w:val="00EF3BFA"/>
    <w:rsid w:val="00F54A18"/>
    <w:rsid w:val="00FA182E"/>
    <w:rsid w:val="00FC63A4"/>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FCD19"/>
  <w15:docId w15:val="{5CE2C859-603F-4961-A781-1A38E21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2019-09-17T04:10:00Z</cp:lastPrinted>
  <dcterms:created xsi:type="dcterms:W3CDTF">2020-10-12T13:01:00Z</dcterms:created>
  <dcterms:modified xsi:type="dcterms:W3CDTF">2020-10-12T13:01:00Z</dcterms:modified>
</cp:coreProperties>
</file>