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48E827" w14:textId="6D3D0164" w:rsidR="002C705A" w:rsidRDefault="00A57252" w:rsidP="002C705A">
      <w:pPr>
        <w:jc w:val="right"/>
        <w:rPr>
          <w:rFonts w:ascii="Arial" w:eastAsia="Times New Roman" w:hAnsi="Arial" w:cs="Arial"/>
          <w:b/>
          <w:sz w:val="48"/>
          <w:szCs w:val="48"/>
          <w:lang w:val="en-US"/>
        </w:rPr>
      </w:pPr>
      <w:r>
        <w:rPr>
          <w:rFonts w:ascii="Arial" w:eastAsia="Times New Roman" w:hAnsi="Arial" w:cs="Arial"/>
          <w:b/>
          <w:sz w:val="48"/>
          <w:szCs w:val="48"/>
          <w:lang w:val="en-US"/>
        </w:rPr>
        <w:fldChar w:fldCharType="begin">
          <w:ffData>
            <w:name w:val="MailingName"/>
            <w:enabled/>
            <w:calcOnExit w:val="0"/>
            <w:textInput>
              <w:default w:val="Starkey Family Superannuation Fund"/>
            </w:textInput>
          </w:ffData>
        </w:fldChar>
      </w:r>
      <w:bookmarkStart w:id="0" w:name="MailingName"/>
      <w:r>
        <w:rPr>
          <w:rFonts w:ascii="Arial" w:eastAsia="Times New Roman" w:hAnsi="Arial" w:cs="Arial"/>
          <w:b/>
          <w:sz w:val="48"/>
          <w:szCs w:val="48"/>
          <w:lang w:val="en-US"/>
        </w:rPr>
        <w:instrText xml:space="preserve"> FORMTEXT </w:instrText>
      </w:r>
      <w:r>
        <w:rPr>
          <w:rFonts w:ascii="Arial" w:eastAsia="Times New Roman" w:hAnsi="Arial" w:cs="Arial"/>
          <w:b/>
          <w:sz w:val="48"/>
          <w:szCs w:val="48"/>
          <w:lang w:val="en-US"/>
        </w:rPr>
      </w:r>
      <w:r>
        <w:rPr>
          <w:rFonts w:ascii="Arial" w:eastAsia="Times New Roman" w:hAnsi="Arial" w:cs="Arial"/>
          <w:b/>
          <w:sz w:val="48"/>
          <w:szCs w:val="48"/>
          <w:lang w:val="en-US"/>
        </w:rPr>
        <w:fldChar w:fldCharType="separate"/>
      </w:r>
      <w:r>
        <w:rPr>
          <w:rFonts w:ascii="Arial" w:eastAsia="Times New Roman" w:hAnsi="Arial" w:cs="Arial"/>
          <w:b/>
          <w:noProof/>
          <w:sz w:val="48"/>
          <w:szCs w:val="48"/>
          <w:lang w:val="en-US"/>
        </w:rPr>
        <w:t>Starkey Family Superannuation Fund</w:t>
      </w:r>
      <w:r>
        <w:rPr>
          <w:rFonts w:ascii="Arial" w:eastAsia="Times New Roman" w:hAnsi="Arial" w:cs="Arial"/>
          <w:b/>
          <w:sz w:val="48"/>
          <w:szCs w:val="48"/>
          <w:lang w:val="en-US"/>
        </w:rPr>
        <w:fldChar w:fldCharType="end"/>
      </w:r>
      <w:bookmarkEnd w:id="0"/>
    </w:p>
    <w:p w14:paraId="23FEF164" w14:textId="77777777" w:rsidR="002C705A" w:rsidRPr="006770B7" w:rsidRDefault="002C705A" w:rsidP="002C705A">
      <w:pPr>
        <w:jc w:val="right"/>
        <w:rPr>
          <w:rFonts w:ascii="Arial" w:hAnsi="Arial" w:cs="Arial"/>
          <w:b/>
          <w:sz w:val="28"/>
          <w:lang w:val="en-US"/>
        </w:rPr>
      </w:pPr>
      <w:r w:rsidRPr="006770B7">
        <w:rPr>
          <w:rFonts w:ascii="Arial" w:hAnsi="Arial" w:cs="Arial"/>
          <w:b/>
          <w:sz w:val="28"/>
          <w:lang w:val="en-US"/>
        </w:rPr>
        <w:t>(“The Fund”)</w:t>
      </w:r>
    </w:p>
    <w:p w14:paraId="067F5F46" w14:textId="77777777" w:rsidR="002C705A" w:rsidRPr="006770B7" w:rsidRDefault="002C705A" w:rsidP="002C705A">
      <w:pPr>
        <w:pStyle w:val="TitlePage1"/>
        <w:rPr>
          <w:rFonts w:cs="Arial"/>
          <w:sz w:val="48"/>
          <w:szCs w:val="56"/>
        </w:rPr>
      </w:pPr>
      <w:r w:rsidRPr="006770B7">
        <w:rPr>
          <w:rFonts w:cs="Arial"/>
          <w:sz w:val="48"/>
          <w:szCs w:val="56"/>
        </w:rPr>
        <w:t xml:space="preserve">Investment Strategy </w:t>
      </w:r>
    </w:p>
    <w:p w14:paraId="5F76C104" w14:textId="77777777" w:rsidR="002C705A" w:rsidRPr="006770B7" w:rsidRDefault="002C705A" w:rsidP="002C705A">
      <w:pPr>
        <w:rPr>
          <w:rFonts w:ascii="Arial" w:hAnsi="Arial" w:cs="Arial"/>
          <w:sz w:val="18"/>
          <w:lang w:val="en-US"/>
        </w:rPr>
      </w:pPr>
    </w:p>
    <w:p w14:paraId="69D7A652" w14:textId="77777777" w:rsidR="002C705A" w:rsidRPr="006770B7" w:rsidRDefault="002C705A" w:rsidP="002C705A">
      <w:pPr>
        <w:rPr>
          <w:rFonts w:ascii="Arial" w:hAnsi="Arial" w:cs="Arial"/>
          <w:sz w:val="18"/>
          <w:lang w:val="en-US"/>
        </w:rPr>
      </w:pPr>
    </w:p>
    <w:p w14:paraId="111478E6" w14:textId="77777777" w:rsidR="00592415" w:rsidRDefault="00592415" w:rsidP="00592415">
      <w:pPr>
        <w:pStyle w:val="TitlePage2"/>
        <w:rPr>
          <w:rFonts w:cs="Arial"/>
          <w:b w:val="0"/>
          <w:sz w:val="28"/>
        </w:rPr>
      </w:pPr>
      <w:r>
        <w:rPr>
          <w:rFonts w:cs="Arial"/>
          <w:b w:val="0"/>
          <w:sz w:val="28"/>
        </w:rPr>
        <w:t>Trustee</w:t>
      </w:r>
      <w:r w:rsidRPr="00311E1D">
        <w:rPr>
          <w:rFonts w:cs="Arial"/>
          <w:b w:val="0"/>
          <w:sz w:val="28"/>
        </w:rPr>
        <w:t xml:space="preserve">: </w:t>
      </w:r>
    </w:p>
    <w:p w14:paraId="596ED29D" w14:textId="76191D8E" w:rsidR="002C705A" w:rsidRPr="006770B7" w:rsidRDefault="00A57252" w:rsidP="00592415">
      <w:pPr>
        <w:jc w:val="right"/>
        <w:rPr>
          <w:rFonts w:ascii="Arial" w:hAnsi="Arial" w:cs="Arial"/>
          <w:sz w:val="18"/>
          <w:lang w:val="en-US"/>
        </w:rPr>
      </w:pPr>
      <w:r>
        <w:rPr>
          <w:rFonts w:ascii="Arial" w:hAnsi="Arial" w:cs="Arial"/>
          <w:b/>
          <w:sz w:val="32"/>
          <w:szCs w:val="44"/>
          <w:lang w:val="en-US"/>
        </w:rPr>
        <w:t>Betstarks</w:t>
      </w:r>
      <w:r w:rsidR="00592415">
        <w:rPr>
          <w:rFonts w:ascii="Arial" w:hAnsi="Arial" w:cs="Arial"/>
          <w:b/>
          <w:sz w:val="32"/>
          <w:szCs w:val="44"/>
          <w:lang w:val="en-US"/>
        </w:rPr>
        <w:t xml:space="preserve"> Pty Ltd</w:t>
      </w:r>
    </w:p>
    <w:p w14:paraId="0B92C0AF" w14:textId="77777777" w:rsidR="002C705A" w:rsidRPr="006770B7" w:rsidRDefault="002C705A" w:rsidP="002C705A">
      <w:pPr>
        <w:rPr>
          <w:rFonts w:ascii="Arial" w:hAnsi="Arial" w:cs="Arial"/>
          <w:sz w:val="18"/>
          <w:lang w:val="en-US"/>
        </w:rPr>
      </w:pPr>
    </w:p>
    <w:p w14:paraId="17F69F6A" w14:textId="77777777" w:rsidR="00592415" w:rsidRDefault="00592415" w:rsidP="00592415">
      <w:pPr>
        <w:rPr>
          <w:lang w:val="en-US"/>
        </w:rPr>
      </w:pPr>
    </w:p>
    <w:p w14:paraId="6B4E74EE" w14:textId="77777777" w:rsidR="00592415" w:rsidRDefault="00592415" w:rsidP="00592415">
      <w:pPr>
        <w:rPr>
          <w:lang w:val="en-US"/>
        </w:rPr>
      </w:pPr>
    </w:p>
    <w:p w14:paraId="3BE8BCFB" w14:textId="77777777" w:rsidR="00592415" w:rsidRDefault="00592415" w:rsidP="00592415">
      <w:pPr>
        <w:rPr>
          <w:lang w:val="en-US"/>
        </w:rPr>
      </w:pPr>
    </w:p>
    <w:p w14:paraId="6AA6C006" w14:textId="77777777" w:rsidR="00592415" w:rsidRDefault="00592415" w:rsidP="00592415">
      <w:pPr>
        <w:pStyle w:val="TitlePage2"/>
        <w:rPr>
          <w:rFonts w:cs="Arial"/>
          <w:b w:val="0"/>
          <w:sz w:val="28"/>
        </w:rPr>
      </w:pPr>
      <w:r w:rsidRPr="00311E1D">
        <w:rPr>
          <w:rFonts w:cs="Arial"/>
          <w:b w:val="0"/>
          <w:sz w:val="28"/>
        </w:rPr>
        <w:t>Director</w:t>
      </w:r>
      <w:r>
        <w:rPr>
          <w:rFonts w:cs="Arial"/>
          <w:b w:val="0"/>
          <w:sz w:val="28"/>
        </w:rPr>
        <w:t>(s)</w:t>
      </w:r>
      <w:r w:rsidRPr="00311E1D">
        <w:rPr>
          <w:rFonts w:cs="Arial"/>
          <w:b w:val="0"/>
          <w:sz w:val="28"/>
        </w:rPr>
        <w:t xml:space="preserve">: </w:t>
      </w:r>
    </w:p>
    <w:p w14:paraId="1A219407" w14:textId="77777777" w:rsidR="00592415" w:rsidRPr="00592415" w:rsidRDefault="00592415" w:rsidP="00592415">
      <w:pPr>
        <w:rPr>
          <w:lang w:val="en-US"/>
        </w:rPr>
      </w:pPr>
    </w:p>
    <w:p w14:paraId="15388EF6" w14:textId="5D24E46D" w:rsidR="002C705A" w:rsidRDefault="004830FD" w:rsidP="002C705A">
      <w:pPr>
        <w:jc w:val="right"/>
        <w:rPr>
          <w:rFonts w:ascii="Arial" w:hAnsi="Arial" w:cs="Arial"/>
          <w:b/>
          <w:sz w:val="32"/>
          <w:szCs w:val="44"/>
          <w:lang w:val="en-US"/>
        </w:rPr>
      </w:pPr>
      <w:r>
        <w:fldChar w:fldCharType="begin"/>
      </w:r>
      <w:r>
        <w:instrText xml:space="preserve"> FILLIN   \* MERGEFORMAT </w:instrText>
      </w:r>
      <w:r>
        <w:fldChar w:fldCharType="separate"/>
      </w:r>
      <w:r w:rsidR="00822EE5" w:rsidRPr="00822EE5">
        <w:rPr>
          <w:rFonts w:ascii="Arial" w:hAnsi="Arial" w:cs="Arial"/>
          <w:b/>
          <w:sz w:val="32"/>
          <w:szCs w:val="44"/>
          <w:lang w:val="en-US"/>
        </w:rPr>
        <w:t xml:space="preserve">David </w:t>
      </w:r>
      <w:r w:rsidR="00A57252">
        <w:rPr>
          <w:rFonts w:ascii="Arial" w:hAnsi="Arial" w:cs="Arial"/>
          <w:b/>
          <w:sz w:val="32"/>
          <w:szCs w:val="44"/>
          <w:lang w:val="en-US"/>
        </w:rPr>
        <w:t>Starkey</w:t>
      </w:r>
      <w:r>
        <w:rPr>
          <w:rFonts w:ascii="Arial" w:hAnsi="Arial" w:cs="Arial"/>
          <w:b/>
          <w:sz w:val="32"/>
          <w:szCs w:val="44"/>
          <w:lang w:val="en-US"/>
        </w:rPr>
        <w:fldChar w:fldCharType="end"/>
      </w:r>
    </w:p>
    <w:p w14:paraId="35D1329C" w14:textId="177F974D" w:rsidR="002C705A" w:rsidRPr="00CC5FBB" w:rsidRDefault="004830FD" w:rsidP="002C705A">
      <w:pPr>
        <w:jc w:val="right"/>
        <w:rPr>
          <w:rFonts w:ascii="Arial" w:hAnsi="Arial" w:cs="Arial"/>
          <w:b/>
          <w:sz w:val="32"/>
          <w:szCs w:val="44"/>
          <w:lang w:val="en-US"/>
        </w:rPr>
      </w:pPr>
      <w:r>
        <w:fldChar w:fldCharType="begin"/>
      </w:r>
      <w:r>
        <w:instrText xml:space="preserve"> FILLIN   \* MERGEFORMAT </w:instrText>
      </w:r>
      <w:r>
        <w:fldChar w:fldCharType="separate"/>
      </w:r>
      <w:r w:rsidR="00A57252">
        <w:rPr>
          <w:rFonts w:ascii="Arial" w:hAnsi="Arial" w:cs="Arial"/>
          <w:b/>
          <w:sz w:val="32"/>
          <w:szCs w:val="44"/>
          <w:lang w:val="en-US"/>
        </w:rPr>
        <w:t>Belinda Starkey</w:t>
      </w:r>
      <w:r>
        <w:rPr>
          <w:rFonts w:ascii="Arial" w:hAnsi="Arial" w:cs="Arial"/>
          <w:b/>
          <w:sz w:val="32"/>
          <w:szCs w:val="44"/>
          <w:lang w:val="en-US"/>
        </w:rPr>
        <w:fldChar w:fldCharType="end"/>
      </w:r>
    </w:p>
    <w:p w14:paraId="358F49D6" w14:textId="77777777" w:rsidR="002C705A" w:rsidRDefault="002C705A" w:rsidP="002C705A">
      <w:pPr>
        <w:rPr>
          <w:rFonts w:ascii="Arial" w:hAnsi="Arial" w:cs="Arial"/>
        </w:rPr>
      </w:pPr>
    </w:p>
    <w:p w14:paraId="5510754D" w14:textId="77777777" w:rsidR="00822EE5" w:rsidRPr="00DE4B9F" w:rsidRDefault="00822EE5" w:rsidP="002C705A">
      <w:pPr>
        <w:rPr>
          <w:rFonts w:ascii="Arial" w:hAnsi="Arial" w:cs="Arial"/>
        </w:rPr>
      </w:pPr>
    </w:p>
    <w:p w14:paraId="7370EDA7" w14:textId="77777777" w:rsidR="002C705A" w:rsidRPr="00DE4B9F" w:rsidRDefault="002C705A" w:rsidP="002C705A">
      <w:pPr>
        <w:jc w:val="right"/>
        <w:rPr>
          <w:rFonts w:ascii="Arial" w:hAnsi="Arial" w:cs="Arial"/>
          <w:lang w:val="en-US"/>
        </w:rPr>
      </w:pPr>
    </w:p>
    <w:p w14:paraId="4E5A01F9" w14:textId="38C3F7A8" w:rsidR="002C705A" w:rsidRDefault="002C705A" w:rsidP="002C705A">
      <w:pPr>
        <w:pStyle w:val="NoSpacing"/>
        <w:jc w:val="right"/>
      </w:pPr>
      <w:r>
        <w:rPr>
          <w:rFonts w:ascii="Arial" w:hAnsi="Arial" w:cs="Arial"/>
          <w:sz w:val="24"/>
          <w:szCs w:val="24"/>
          <w:lang w:val="en-US"/>
        </w:rPr>
        <w:t>Date</w:t>
      </w:r>
      <w:r w:rsidR="00E82828">
        <w:rPr>
          <w:rFonts w:ascii="Arial" w:hAnsi="Arial" w:cs="Arial"/>
          <w:sz w:val="24"/>
          <w:szCs w:val="24"/>
          <w:lang w:val="en-US"/>
        </w:rPr>
        <w:t>: 23 June 2021</w:t>
      </w:r>
    </w:p>
    <w:p w14:paraId="6E0A9348" w14:textId="77777777" w:rsidR="002C705A" w:rsidRDefault="002C705A" w:rsidP="002C705A">
      <w:pPr>
        <w:pStyle w:val="NoSpacing"/>
      </w:pPr>
    </w:p>
    <w:p w14:paraId="26C12B97" w14:textId="77777777" w:rsidR="002C705A" w:rsidRPr="009A3C1E" w:rsidRDefault="002C705A" w:rsidP="002C705A">
      <w:pPr>
        <w:pStyle w:val="NoSpacing"/>
      </w:pPr>
      <w:r w:rsidRPr="009A3C1E">
        <w:br w:type="page"/>
      </w:r>
    </w:p>
    <w:p w14:paraId="5BB21233" w14:textId="77777777" w:rsidR="009A3C1E" w:rsidRPr="002C705A" w:rsidRDefault="009A3C1E" w:rsidP="00CE0610">
      <w:pPr>
        <w:pStyle w:val="Heading1"/>
        <w:rPr>
          <w:color w:val="auto"/>
        </w:rPr>
      </w:pPr>
      <w:r w:rsidRPr="002C705A">
        <w:rPr>
          <w:color w:val="auto"/>
        </w:rPr>
        <w:lastRenderedPageBreak/>
        <w:t>Objective of the Fund</w:t>
      </w:r>
    </w:p>
    <w:p w14:paraId="59712044" w14:textId="77777777" w:rsidR="009A3C1E" w:rsidRDefault="009A3C1E" w:rsidP="00E42F5C">
      <w:pPr>
        <w:pStyle w:val="ListParagraph"/>
        <w:numPr>
          <w:ilvl w:val="0"/>
          <w:numId w:val="39"/>
        </w:numPr>
      </w:pPr>
      <w:r>
        <w:t>To provide retirement benefit for the members. In the event of the me</w:t>
      </w:r>
      <w:r w:rsidR="00CE0610">
        <w:t xml:space="preserve">mbers’ death before retirement, </w:t>
      </w:r>
      <w:r>
        <w:t>to provide benefits for the dependants of the members.</w:t>
      </w:r>
    </w:p>
    <w:p w14:paraId="63EFC690" w14:textId="77777777" w:rsidR="009A3C1E" w:rsidRDefault="009A3C1E" w:rsidP="00E42F5C">
      <w:pPr>
        <w:pStyle w:val="ListParagraph"/>
        <w:numPr>
          <w:ilvl w:val="0"/>
          <w:numId w:val="39"/>
        </w:numPr>
      </w:pPr>
      <w:r>
        <w:t>To ensure that sufficient assets will be available to meet benefit payments when those payments are due to be paid (solvency).</w:t>
      </w:r>
    </w:p>
    <w:p w14:paraId="00A177CE" w14:textId="77777777" w:rsidR="009A3C1E" w:rsidRDefault="009A3C1E" w:rsidP="00E42F5C">
      <w:pPr>
        <w:pStyle w:val="ListParagraph"/>
        <w:numPr>
          <w:ilvl w:val="0"/>
          <w:numId w:val="39"/>
        </w:numPr>
      </w:pPr>
      <w:r>
        <w:t>To ensure that sufficient liquid assets will be available to meet benefit payments as and when those payments are due to be paid (liquidity).</w:t>
      </w:r>
    </w:p>
    <w:p w14:paraId="4D7DC61E" w14:textId="77777777" w:rsidR="009A3C1E" w:rsidRDefault="009A3C1E" w:rsidP="00E42F5C">
      <w:pPr>
        <w:pStyle w:val="ListParagraph"/>
        <w:numPr>
          <w:ilvl w:val="0"/>
          <w:numId w:val="39"/>
        </w:numPr>
      </w:pPr>
      <w:r>
        <w:t>Hold sufficient funds in cash to meet trustees planned expenditures and to provide an ongoing cash reserve.</w:t>
      </w:r>
    </w:p>
    <w:p w14:paraId="6D265426" w14:textId="77777777" w:rsidR="009A3C1E" w:rsidRDefault="009A3C1E" w:rsidP="00E42F5C">
      <w:pPr>
        <w:pStyle w:val="ListParagraph"/>
        <w:numPr>
          <w:ilvl w:val="0"/>
          <w:numId w:val="39"/>
        </w:numPr>
      </w:pPr>
      <w:r>
        <w:t>To ensure the fund has the ability to discharge its existing and prospective liabilities by putting in place sufficient liquid assets.</w:t>
      </w:r>
    </w:p>
    <w:p w14:paraId="727726A5" w14:textId="77777777" w:rsidR="009A3C1E" w:rsidRPr="002C705A" w:rsidRDefault="009A3C1E" w:rsidP="00CE0610">
      <w:pPr>
        <w:pStyle w:val="Heading1"/>
        <w:rPr>
          <w:color w:val="auto"/>
        </w:rPr>
      </w:pPr>
      <w:r w:rsidRPr="002C705A">
        <w:rPr>
          <w:color w:val="auto"/>
        </w:rPr>
        <w:t>Authorised Investments and Risk Profile</w:t>
      </w:r>
    </w:p>
    <w:p w14:paraId="6012770F" w14:textId="77777777" w:rsidR="009A3C1E" w:rsidRDefault="009A3C1E" w:rsidP="00CE0610">
      <w:r>
        <w:t>The Trustee is authorised to invest in the following classes of investments with due consideration given to the acceptable risk profile of each investment. Prior to making any investment decisions, the Trustee will confirm the transaction complies with the provisions of the Superannuation Industry (Supervision) Act 1993.</w:t>
      </w:r>
    </w:p>
    <w:p w14:paraId="3F6E62AD" w14:textId="77777777" w:rsidR="009A3C1E" w:rsidRPr="002C705A" w:rsidRDefault="009A3C1E" w:rsidP="00E42F5C">
      <w:pPr>
        <w:pStyle w:val="Heading3"/>
        <w:ind w:firstLine="720"/>
        <w:rPr>
          <w:color w:val="414140" w:themeColor="background1" w:themeShade="BF"/>
        </w:rPr>
      </w:pPr>
      <w:r w:rsidRPr="002C705A">
        <w:rPr>
          <w:color w:val="414140" w:themeColor="background1" w:themeShade="BF"/>
        </w:rPr>
        <w:t>Equities</w:t>
      </w:r>
    </w:p>
    <w:p w14:paraId="08CC53BA" w14:textId="77777777" w:rsidR="009A3C1E" w:rsidRDefault="009A3C1E" w:rsidP="00E42F5C">
      <w:pPr>
        <w:ind w:left="720"/>
      </w:pPr>
      <w:r w:rsidRPr="002C705A">
        <w:rPr>
          <w:rStyle w:val="Heading2Char"/>
          <w:color w:val="808080" w:themeColor="accent6" w:themeShade="80"/>
        </w:rPr>
        <w:t>Risk Profile -</w:t>
      </w:r>
      <w:r w:rsidRPr="002C705A">
        <w:rPr>
          <w:color w:val="808080" w:themeColor="accent6" w:themeShade="80"/>
        </w:rPr>
        <w:t xml:space="preserve"> </w:t>
      </w:r>
      <w:r>
        <w:t xml:space="preserve">Historically, shares have generally produced higher returns than other secure or </w:t>
      </w:r>
      <w:proofErr w:type="gramStart"/>
      <w:r>
        <w:t>cash based</w:t>
      </w:r>
      <w:proofErr w:type="gramEnd"/>
      <w:r>
        <w:t xml:space="preserve"> asset classes (timeframe of 10+ years). The Trustees are aware that shares are easily traded, which makes them a liquid investment. However, with the potential for high returns comes higher risk. The value of shares can fluctuate significantly, so they should be monitored. They generally are suited to longer-term investing. The Trustee is authorised to trade in options (or any other such derivatives thereof) and has considered its separate risk. International shares are also subject to foreign exchange risk.</w:t>
      </w:r>
    </w:p>
    <w:p w14:paraId="21B4C7FC" w14:textId="77777777" w:rsidR="009A3C1E" w:rsidRPr="002C705A" w:rsidRDefault="009A3C1E" w:rsidP="00E42F5C">
      <w:pPr>
        <w:pStyle w:val="Heading3"/>
        <w:ind w:firstLine="720"/>
        <w:rPr>
          <w:color w:val="414140" w:themeColor="background1" w:themeShade="BF"/>
        </w:rPr>
      </w:pPr>
      <w:r w:rsidRPr="002C705A">
        <w:rPr>
          <w:color w:val="414140" w:themeColor="background1" w:themeShade="BF"/>
        </w:rPr>
        <w:t>Cash</w:t>
      </w:r>
    </w:p>
    <w:p w14:paraId="2F68D7FA" w14:textId="77777777" w:rsidR="009A3C1E" w:rsidRDefault="009A3C1E" w:rsidP="00E42F5C">
      <w:pPr>
        <w:ind w:left="720"/>
      </w:pPr>
      <w:r w:rsidRPr="002C705A">
        <w:rPr>
          <w:rStyle w:val="Heading2Char"/>
          <w:color w:val="808080" w:themeColor="accent6" w:themeShade="80"/>
        </w:rPr>
        <w:t>Risk Profile -</w:t>
      </w:r>
      <w:r w:rsidRPr="002C705A">
        <w:rPr>
          <w:color w:val="808080" w:themeColor="accent6" w:themeShade="80"/>
        </w:rPr>
        <w:t xml:space="preserve"> </w:t>
      </w:r>
      <w:r>
        <w:t>Cash investments range from day-to-day bank accounts to short-term money-market investments. The Trustees are aware that cash investments typically provide low income returns in the long term and have no scope for capital growth. However, they contribute to a well-balanced portfolio helping to reduce the overall risk, and generally provide liquidity to the fund. Foreign cash is also subject to foreign exchange risk.</w:t>
      </w:r>
    </w:p>
    <w:p w14:paraId="64326BF5" w14:textId="77777777" w:rsidR="009A3C1E" w:rsidRPr="002C705A" w:rsidRDefault="009A3C1E" w:rsidP="00E42F5C">
      <w:pPr>
        <w:pStyle w:val="Heading3"/>
        <w:ind w:firstLine="720"/>
        <w:rPr>
          <w:color w:val="414140" w:themeColor="background1" w:themeShade="BF"/>
        </w:rPr>
      </w:pPr>
      <w:r w:rsidRPr="002C705A">
        <w:rPr>
          <w:color w:val="414140" w:themeColor="background1" w:themeShade="BF"/>
        </w:rPr>
        <w:t>Fixed Interest</w:t>
      </w:r>
    </w:p>
    <w:p w14:paraId="7D64838C" w14:textId="77777777" w:rsidR="009A3C1E" w:rsidRDefault="009A3C1E" w:rsidP="00E42F5C">
      <w:pPr>
        <w:ind w:left="720"/>
      </w:pPr>
      <w:r w:rsidRPr="002C705A">
        <w:rPr>
          <w:rStyle w:val="Heading2Char"/>
          <w:color w:val="808080" w:themeColor="accent6" w:themeShade="80"/>
        </w:rPr>
        <w:t>Risk Profile -</w:t>
      </w:r>
      <w:r w:rsidRPr="002C705A">
        <w:rPr>
          <w:color w:val="808080" w:themeColor="accent6" w:themeShade="80"/>
        </w:rPr>
        <w:t xml:space="preserve"> </w:t>
      </w:r>
      <w:r>
        <w:t>Fixed interest investments mainly consist of tradeable government securities or corporate debt, known as “bonds”. The Trustees are aware that fixed interest is a relatively low-risk investment (subject to the underlying risk of the issuing company); and historically provide low returns. Fixed interest investments can provide liquidity. They help reduce the overall risk of the portfolio and pay a regular interest income. International fixed interest investments are also subject to foreign exchange risk.</w:t>
      </w:r>
    </w:p>
    <w:p w14:paraId="14178122" w14:textId="77777777" w:rsidR="009A3C1E" w:rsidRPr="002C705A" w:rsidRDefault="009A3C1E" w:rsidP="00E42F5C">
      <w:pPr>
        <w:pStyle w:val="Heading3"/>
        <w:ind w:firstLine="720"/>
        <w:rPr>
          <w:color w:val="414140" w:themeColor="background1" w:themeShade="BF"/>
        </w:rPr>
      </w:pPr>
      <w:r w:rsidRPr="002C705A">
        <w:rPr>
          <w:color w:val="414140" w:themeColor="background1" w:themeShade="BF"/>
        </w:rPr>
        <w:t>Mortgages</w:t>
      </w:r>
    </w:p>
    <w:p w14:paraId="64C19EC9" w14:textId="77777777" w:rsidR="009A3C1E" w:rsidRDefault="009A3C1E" w:rsidP="00E42F5C">
      <w:pPr>
        <w:ind w:left="720"/>
      </w:pPr>
      <w:r w:rsidRPr="002C705A">
        <w:rPr>
          <w:rStyle w:val="Heading2Char"/>
          <w:color w:val="808080" w:themeColor="accent6" w:themeShade="80"/>
        </w:rPr>
        <w:t>Risk Profile -</w:t>
      </w:r>
      <w:r w:rsidRPr="002C705A">
        <w:rPr>
          <w:color w:val="808080" w:themeColor="accent6" w:themeShade="80"/>
        </w:rPr>
        <w:t xml:space="preserve"> </w:t>
      </w:r>
      <w:r>
        <w:t>Mortgage funds invest in mortgage loans. Investors then receive the interest payments on those mortgages, after the manager deducts fees and expenses. These mortgages can be for retail, commercial, industrial or residential properties. The Trustees are aware that investing in mortgage funds is not entirely without risk, as the value of the underlying investments can fluctuate, depending on the quality of the mortgages. As such, the lending parameters of each mortgage fund should be individually assessed to ascertain what levels of risk the Trustees are comfortable with. The liquidity of mortgage funds can be uncertain, with some mortgage funds freezing withdrawals at times.</w:t>
      </w:r>
    </w:p>
    <w:p w14:paraId="72F57004" w14:textId="77777777" w:rsidR="009A3C1E" w:rsidRPr="002C705A" w:rsidRDefault="009A3C1E" w:rsidP="00E42F5C">
      <w:pPr>
        <w:pStyle w:val="Heading3"/>
        <w:ind w:firstLine="720"/>
        <w:rPr>
          <w:color w:val="414140" w:themeColor="background1" w:themeShade="BF"/>
        </w:rPr>
      </w:pPr>
      <w:r w:rsidRPr="002C705A">
        <w:rPr>
          <w:color w:val="414140" w:themeColor="background1" w:themeShade="BF"/>
        </w:rPr>
        <w:lastRenderedPageBreak/>
        <w:t>Direct Property</w:t>
      </w:r>
    </w:p>
    <w:p w14:paraId="4CD731FA" w14:textId="77777777" w:rsidR="009A3C1E" w:rsidRDefault="009A3C1E" w:rsidP="00E42F5C">
      <w:pPr>
        <w:ind w:left="720"/>
      </w:pPr>
      <w:r w:rsidRPr="002C705A">
        <w:rPr>
          <w:rStyle w:val="Heading2Char"/>
          <w:color w:val="808080" w:themeColor="accent6" w:themeShade="80"/>
        </w:rPr>
        <w:t>Risk Profile -</w:t>
      </w:r>
      <w:r w:rsidRPr="002C705A">
        <w:rPr>
          <w:color w:val="808080" w:themeColor="accent6" w:themeShade="80"/>
        </w:rPr>
        <w:t xml:space="preserve"> </w:t>
      </w:r>
      <w:r>
        <w:t>The trustees are aware that investing a significant part of the portfolio in an investment property may lack diversification, in the short to medium term, with inherent increased risk and exposure to the property sector. Furthermore, direct property can limit the liquidity in the fund. They consider that the potential investment return from the investment in the property would be substantial and will provide for growth in the long term.</w:t>
      </w:r>
    </w:p>
    <w:p w14:paraId="76A52CA4" w14:textId="77777777" w:rsidR="009A3C1E" w:rsidRPr="002C705A" w:rsidRDefault="009A3C1E" w:rsidP="00E42F5C">
      <w:pPr>
        <w:pStyle w:val="Heading3"/>
        <w:ind w:firstLine="720"/>
        <w:rPr>
          <w:color w:val="414140" w:themeColor="background1" w:themeShade="BF"/>
        </w:rPr>
      </w:pPr>
      <w:r w:rsidRPr="002C705A">
        <w:rPr>
          <w:color w:val="414140" w:themeColor="background1" w:themeShade="BF"/>
        </w:rPr>
        <w:t>Listed Property</w:t>
      </w:r>
    </w:p>
    <w:p w14:paraId="39AE9434" w14:textId="77777777" w:rsidR="009A3C1E" w:rsidRDefault="009A3C1E" w:rsidP="00E42F5C">
      <w:pPr>
        <w:ind w:left="720"/>
      </w:pPr>
      <w:r w:rsidRPr="002C705A">
        <w:rPr>
          <w:rStyle w:val="Heading2Char"/>
          <w:color w:val="808080" w:themeColor="accent6" w:themeShade="80"/>
        </w:rPr>
        <w:t>Risk Profile -</w:t>
      </w:r>
      <w:r w:rsidRPr="002C705A">
        <w:rPr>
          <w:color w:val="808080" w:themeColor="accent6" w:themeShade="80"/>
        </w:rPr>
        <w:t xml:space="preserve"> </w:t>
      </w:r>
      <w:r>
        <w:t>Property Trusts typically invest in prime commercial, retail and residential property. The Trustees are aware that although property is a growth risk investment, it is susceptible to fluctuations in market demand. They are generally suited to longer term investing.</w:t>
      </w:r>
    </w:p>
    <w:p w14:paraId="797855D8" w14:textId="77777777" w:rsidR="009A3C1E" w:rsidRPr="002C705A" w:rsidRDefault="009A3C1E" w:rsidP="00E42F5C">
      <w:pPr>
        <w:pStyle w:val="Heading3"/>
        <w:ind w:left="720"/>
        <w:rPr>
          <w:color w:val="414140" w:themeColor="background1" w:themeShade="BF"/>
        </w:rPr>
      </w:pPr>
      <w:r w:rsidRPr="002C705A">
        <w:rPr>
          <w:color w:val="414140" w:themeColor="background1" w:themeShade="BF"/>
        </w:rPr>
        <w:t>Other Investments (that the trustee considers will fulfil the Fund’s objectives)</w:t>
      </w:r>
    </w:p>
    <w:p w14:paraId="18824033" w14:textId="77777777" w:rsidR="009A3C1E" w:rsidRDefault="009A3C1E" w:rsidP="00E42F5C">
      <w:pPr>
        <w:ind w:left="720"/>
      </w:pPr>
      <w:r w:rsidRPr="002C705A">
        <w:rPr>
          <w:rStyle w:val="Heading2Char"/>
          <w:color w:val="808080" w:themeColor="accent6" w:themeShade="80"/>
        </w:rPr>
        <w:t>Risk Profile -</w:t>
      </w:r>
      <w:r w:rsidRPr="002C705A">
        <w:rPr>
          <w:color w:val="808080" w:themeColor="accent6" w:themeShade="80"/>
        </w:rPr>
        <w:t xml:space="preserve"> </w:t>
      </w:r>
      <w:r>
        <w:t>The underlying risks that are associated with investing in the other assets listed above are best determined by a professional before the Trustees invest in any such investment. Consideration needs to be made as to how assets will be stored to prevent deterioration or damage and appropriate insurance should be considered. Generally, Trustees cannot display these assets in homes or office as this may give rise to in-house asset implications. The Trustees may wish to seek professional advice before investing in assets such as artwork, antiques, jewellery, coins or wine.</w:t>
      </w:r>
    </w:p>
    <w:p w14:paraId="57E59A66" w14:textId="77777777" w:rsidR="009A3C1E" w:rsidRPr="002C705A" w:rsidRDefault="009A3C1E" w:rsidP="00E42F5C">
      <w:pPr>
        <w:pStyle w:val="Heading1"/>
        <w:rPr>
          <w:color w:val="auto"/>
        </w:rPr>
      </w:pPr>
      <w:r w:rsidRPr="002C705A">
        <w:rPr>
          <w:color w:val="auto"/>
        </w:rPr>
        <w:t>Liquidity</w:t>
      </w:r>
    </w:p>
    <w:p w14:paraId="1E612BE6" w14:textId="77777777" w:rsidR="009A3C1E" w:rsidRDefault="009A3C1E" w:rsidP="00CE0610">
      <w:r>
        <w:t>Due consideration will be given, prior to any investment decision, as to the liquidity requirements of the fund to ensure the fund will be able to pay its debts as and when they fall due.</w:t>
      </w:r>
    </w:p>
    <w:p w14:paraId="10DDDF2A" w14:textId="77777777" w:rsidR="009A3C1E" w:rsidRDefault="009A3C1E" w:rsidP="00CE0610">
      <w:r>
        <w:t>As members of the Fund become entitled to receive a benefit from the Fund, the required liquidity of the Fund will need to be such that any benefit payments as well as any taxation and other liabilities can be met. The trustee is therefore required to maintain an appropriate level of liquidity in order to meet the liabilities of the Fund as and when they fall due. The Trustee may consider the transfer of some assets in specie in the overall liquidity of the Fund.</w:t>
      </w:r>
    </w:p>
    <w:p w14:paraId="2AC7021C" w14:textId="77777777" w:rsidR="009A3C1E" w:rsidRPr="002C705A" w:rsidRDefault="009A3C1E" w:rsidP="00E42F5C">
      <w:pPr>
        <w:pStyle w:val="Heading1"/>
        <w:rPr>
          <w:color w:val="auto"/>
        </w:rPr>
      </w:pPr>
      <w:r w:rsidRPr="002C705A">
        <w:rPr>
          <w:color w:val="auto"/>
        </w:rPr>
        <w:t>Insurance</w:t>
      </w:r>
    </w:p>
    <w:p w14:paraId="2FA8BA53" w14:textId="77777777" w:rsidR="00E42F5C" w:rsidRDefault="009A3C1E" w:rsidP="00CE0610">
      <w:r>
        <w:t>With consultation from members, the Trustee has considered insurance for the Fund’s members. It is agreed that the current insurance is appropriate given the age, health risks and member’s financial and personal situation and the overall risk management objectives. The insurance level and appropriateness will be reviewed on at least an annual basis.</w:t>
      </w:r>
    </w:p>
    <w:p w14:paraId="7700C6EF" w14:textId="77777777" w:rsidR="00E42F5C" w:rsidRDefault="00E42F5C">
      <w:pPr>
        <w:jc w:val="left"/>
      </w:pPr>
      <w:r>
        <w:br w:type="page"/>
      </w:r>
    </w:p>
    <w:p w14:paraId="73DCB548" w14:textId="77777777" w:rsidR="009A3C1E" w:rsidRDefault="009A3C1E" w:rsidP="00CE0610"/>
    <w:p w14:paraId="75239219" w14:textId="77777777" w:rsidR="009A3C1E" w:rsidRPr="002C705A" w:rsidRDefault="009A3C1E" w:rsidP="00E42F5C">
      <w:pPr>
        <w:pStyle w:val="Heading1"/>
        <w:rPr>
          <w:color w:val="auto"/>
        </w:rPr>
      </w:pPr>
      <w:r w:rsidRPr="002C705A">
        <w:rPr>
          <w:color w:val="auto"/>
        </w:rPr>
        <w:t>Diversification of Investments</w:t>
      </w:r>
    </w:p>
    <w:p w14:paraId="70A8CE87" w14:textId="77777777" w:rsidR="009A3C1E" w:rsidRDefault="009A3C1E" w:rsidP="00CE0610">
      <w:r>
        <w:t>The Trustee may invest in such class or classes of investment as it may in its absolute discretion decide. Spreading funds across a range of investments helps to reduce risk and smooth investment returns. The Trustee is specifically authorised to vary the mix of investments at its discretion and may sell or trade any asset or assets of the Fund at any time, in accordance with the ranges set below.</w:t>
      </w:r>
    </w:p>
    <w:p w14:paraId="1707FE37" w14:textId="77777777" w:rsidR="009A3C1E" w:rsidRDefault="009A3C1E" w:rsidP="00CE0610">
      <w:r>
        <w:t>Please note that in order for an investment strategy to be considered valid:</w:t>
      </w:r>
    </w:p>
    <w:p w14:paraId="28B0507C" w14:textId="77777777" w:rsidR="009A3C1E" w:rsidRPr="00E42F5C" w:rsidRDefault="009A3C1E" w:rsidP="00E42F5C">
      <w:pPr>
        <w:pStyle w:val="ListParagraph"/>
        <w:numPr>
          <w:ilvl w:val="0"/>
          <w:numId w:val="40"/>
        </w:numPr>
        <w:rPr>
          <w:b/>
        </w:rPr>
      </w:pPr>
      <w:r w:rsidRPr="00E42F5C">
        <w:rPr>
          <w:b/>
        </w:rPr>
        <w:t>The “minimum %” must total to be less than 100%; and</w:t>
      </w:r>
    </w:p>
    <w:p w14:paraId="0F0C69FC" w14:textId="77777777" w:rsidR="009A3C1E" w:rsidRPr="00E42F5C" w:rsidRDefault="009A3C1E" w:rsidP="00E42F5C">
      <w:pPr>
        <w:pStyle w:val="ListParagraph"/>
        <w:numPr>
          <w:ilvl w:val="0"/>
          <w:numId w:val="40"/>
        </w:numPr>
        <w:rPr>
          <w:b/>
        </w:rPr>
      </w:pPr>
      <w:r w:rsidRPr="00E42F5C">
        <w:rPr>
          <w:b/>
        </w:rPr>
        <w:t>The “maximum %” must total to be greater than or equal to 100%</w:t>
      </w:r>
    </w:p>
    <w:p w14:paraId="6A4AA037" w14:textId="77777777" w:rsidR="009A3C1E" w:rsidRDefault="009A3C1E" w:rsidP="00CE0610">
      <w:r>
        <w:t>The Trustee believes the following mix of investments is appropriate to meet the objective of this investment strategy:</w:t>
      </w:r>
    </w:p>
    <w:tbl>
      <w:tblPr>
        <w:tblStyle w:val="Style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4"/>
        <w:gridCol w:w="2013"/>
        <w:gridCol w:w="2013"/>
      </w:tblGrid>
      <w:tr w:rsidR="002C705A" w:rsidRPr="00E42F5C" w14:paraId="4D2A8312" w14:textId="77777777" w:rsidTr="00B746A4">
        <w:trPr>
          <w:trHeight w:val="397"/>
          <w:jc w:val="center"/>
        </w:trPr>
        <w:tc>
          <w:tcPr>
            <w:tcW w:w="4084" w:type="dxa"/>
            <w:tcBorders>
              <w:bottom w:val="single" w:sz="18" w:space="0" w:color="auto"/>
              <w:right w:val="single" w:sz="18" w:space="0" w:color="auto"/>
            </w:tcBorders>
            <w:vAlign w:val="center"/>
          </w:tcPr>
          <w:p w14:paraId="4BF15C9C" w14:textId="77777777" w:rsidR="002C705A" w:rsidRPr="00E42F5C" w:rsidRDefault="002C705A" w:rsidP="00E42F5C">
            <w:pPr>
              <w:jc w:val="left"/>
              <w:rPr>
                <w:rFonts w:cs="Tahoma"/>
                <w:b/>
                <w:color w:val="FFFFFF" w:themeColor="accent6"/>
              </w:rPr>
            </w:pPr>
          </w:p>
        </w:tc>
        <w:tc>
          <w:tcPr>
            <w:tcW w:w="4026" w:type="dxa"/>
            <w:gridSpan w:val="2"/>
            <w:tcBorders>
              <w:top w:val="single" w:sz="18" w:space="0" w:color="auto"/>
              <w:left w:val="single" w:sz="18" w:space="0" w:color="auto"/>
              <w:bottom w:val="single" w:sz="18" w:space="0" w:color="auto"/>
              <w:right w:val="single" w:sz="18" w:space="0" w:color="auto"/>
            </w:tcBorders>
            <w:shd w:val="clear" w:color="auto" w:fill="414140" w:themeFill="background1" w:themeFillShade="BF"/>
            <w:vAlign w:val="center"/>
          </w:tcPr>
          <w:p w14:paraId="057AA577" w14:textId="77777777" w:rsidR="002C705A" w:rsidRPr="00E42F5C" w:rsidRDefault="002C705A" w:rsidP="00E42F5C">
            <w:pPr>
              <w:jc w:val="center"/>
              <w:rPr>
                <w:rFonts w:cs="Tahoma"/>
                <w:b/>
                <w:color w:val="FFFFFF" w:themeColor="accent6"/>
              </w:rPr>
            </w:pPr>
            <w:r w:rsidRPr="00E42F5C">
              <w:rPr>
                <w:rFonts w:cs="Tahoma"/>
                <w:b/>
                <w:color w:val="FFFFFF" w:themeColor="accent6"/>
              </w:rPr>
              <w:t>RANGE</w:t>
            </w:r>
          </w:p>
        </w:tc>
      </w:tr>
      <w:tr w:rsidR="00E42F5C" w:rsidRPr="00E42F5C" w14:paraId="7CA86768" w14:textId="77777777" w:rsidTr="00B746A4">
        <w:trPr>
          <w:trHeight w:val="397"/>
          <w:jc w:val="center"/>
        </w:trPr>
        <w:tc>
          <w:tcPr>
            <w:tcW w:w="4084" w:type="dxa"/>
            <w:tcBorders>
              <w:top w:val="single" w:sz="18" w:space="0" w:color="auto"/>
              <w:left w:val="single" w:sz="18" w:space="0" w:color="auto"/>
              <w:bottom w:val="single" w:sz="18" w:space="0" w:color="FFFFFF" w:themeColor="accent6"/>
              <w:right w:val="single" w:sz="18" w:space="0" w:color="auto"/>
            </w:tcBorders>
            <w:shd w:val="clear" w:color="auto" w:fill="414140" w:themeFill="background1" w:themeFillShade="BF"/>
            <w:vAlign w:val="center"/>
          </w:tcPr>
          <w:p w14:paraId="72F33642" w14:textId="77777777" w:rsidR="009A3C1E" w:rsidRPr="00E42F5C" w:rsidRDefault="00E42F5C" w:rsidP="00E42F5C">
            <w:pPr>
              <w:jc w:val="left"/>
              <w:rPr>
                <w:rFonts w:cs="Tahoma"/>
                <w:b/>
                <w:color w:val="FFFFFF" w:themeColor="accent6"/>
              </w:rPr>
            </w:pPr>
            <w:r w:rsidRPr="00E42F5C">
              <w:rPr>
                <w:rFonts w:cs="Tahoma"/>
                <w:b/>
                <w:color w:val="FFFFFF" w:themeColor="accent6"/>
              </w:rPr>
              <w:t>I</w:t>
            </w:r>
            <w:r w:rsidRPr="002C705A">
              <w:rPr>
                <w:rFonts w:cs="Tahoma"/>
                <w:b/>
                <w:color w:val="FFFFFF" w:themeColor="accent6"/>
                <w:shd w:val="clear" w:color="auto" w:fill="414140" w:themeFill="background1" w:themeFillShade="BF"/>
              </w:rPr>
              <w:t>NVESTMENT</w:t>
            </w:r>
          </w:p>
        </w:tc>
        <w:tc>
          <w:tcPr>
            <w:tcW w:w="2013" w:type="dxa"/>
            <w:tcBorders>
              <w:top w:val="single" w:sz="18" w:space="0" w:color="auto"/>
              <w:left w:val="single" w:sz="18" w:space="0" w:color="auto"/>
              <w:bottom w:val="single" w:sz="18" w:space="0" w:color="auto"/>
              <w:right w:val="single" w:sz="18" w:space="0" w:color="auto"/>
            </w:tcBorders>
            <w:shd w:val="clear" w:color="auto" w:fill="F2F2F2" w:themeFill="accent6" w:themeFillShade="F2"/>
            <w:vAlign w:val="center"/>
          </w:tcPr>
          <w:p w14:paraId="77757151" w14:textId="77777777" w:rsidR="009A3C1E" w:rsidRPr="002C705A" w:rsidRDefault="00E42F5C" w:rsidP="00E42F5C">
            <w:pPr>
              <w:jc w:val="center"/>
              <w:rPr>
                <w:rFonts w:cs="Tahoma"/>
                <w:b/>
              </w:rPr>
            </w:pPr>
            <w:r w:rsidRPr="002C705A">
              <w:rPr>
                <w:rFonts w:cs="Tahoma"/>
                <w:b/>
              </w:rPr>
              <w:t>FROM %</w:t>
            </w:r>
          </w:p>
        </w:tc>
        <w:tc>
          <w:tcPr>
            <w:tcW w:w="2013" w:type="dxa"/>
            <w:tcBorders>
              <w:top w:val="single" w:sz="18" w:space="0" w:color="auto"/>
              <w:left w:val="single" w:sz="18" w:space="0" w:color="auto"/>
              <w:bottom w:val="single" w:sz="18" w:space="0" w:color="auto"/>
              <w:right w:val="single" w:sz="18" w:space="0" w:color="auto"/>
            </w:tcBorders>
            <w:shd w:val="clear" w:color="auto" w:fill="F2F2F2" w:themeFill="accent6" w:themeFillShade="F2"/>
            <w:vAlign w:val="center"/>
          </w:tcPr>
          <w:p w14:paraId="6F892DA1" w14:textId="77777777" w:rsidR="009A3C1E" w:rsidRPr="002C705A" w:rsidRDefault="00E42F5C" w:rsidP="00E42F5C">
            <w:pPr>
              <w:jc w:val="center"/>
              <w:rPr>
                <w:rFonts w:cs="Tahoma"/>
                <w:b/>
              </w:rPr>
            </w:pPr>
            <w:r w:rsidRPr="002C705A">
              <w:rPr>
                <w:rFonts w:cs="Tahoma"/>
                <w:b/>
              </w:rPr>
              <w:t>TO %</w:t>
            </w:r>
          </w:p>
        </w:tc>
      </w:tr>
      <w:tr w:rsidR="00E42F5C" w:rsidRPr="00E42F5C" w14:paraId="75BB5342"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6393EC9A" w14:textId="77777777" w:rsidR="009A3C1E" w:rsidRPr="002C705A" w:rsidRDefault="00CE0610" w:rsidP="00E42F5C">
            <w:pPr>
              <w:jc w:val="left"/>
              <w:rPr>
                <w:rFonts w:cs="Tahoma"/>
                <w:b/>
              </w:rPr>
            </w:pPr>
            <w:r w:rsidRPr="002C705A">
              <w:rPr>
                <w:rFonts w:cs="Tahoma"/>
                <w:b/>
              </w:rPr>
              <w:t>Australian Equities</w:t>
            </w:r>
          </w:p>
        </w:tc>
        <w:tc>
          <w:tcPr>
            <w:tcW w:w="2013" w:type="dxa"/>
            <w:tcBorders>
              <w:top w:val="single" w:sz="18" w:space="0" w:color="auto"/>
              <w:left w:val="single" w:sz="18" w:space="0" w:color="auto"/>
              <w:bottom w:val="single" w:sz="18" w:space="0" w:color="auto"/>
              <w:right w:val="single" w:sz="18" w:space="0" w:color="auto"/>
            </w:tcBorders>
            <w:vAlign w:val="center"/>
          </w:tcPr>
          <w:p w14:paraId="3CE8B879" w14:textId="5100B19C"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46F9BC58" w14:textId="053FA5B2" w:rsidR="009A3C1E" w:rsidRPr="00E42F5C" w:rsidRDefault="00E82828" w:rsidP="00E42F5C">
            <w:pPr>
              <w:jc w:val="center"/>
              <w:rPr>
                <w:rFonts w:cs="Tahoma"/>
              </w:rPr>
            </w:pPr>
            <w:r>
              <w:rPr>
                <w:rFonts w:cs="Tahoma"/>
              </w:rPr>
              <w:t>90</w:t>
            </w:r>
          </w:p>
        </w:tc>
      </w:tr>
      <w:tr w:rsidR="00E42F5C" w:rsidRPr="00E42F5C" w14:paraId="45CF0B4C"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2E75FC45" w14:textId="77777777" w:rsidR="009A3C1E" w:rsidRPr="002C705A" w:rsidRDefault="00CE0610" w:rsidP="00E42F5C">
            <w:pPr>
              <w:jc w:val="left"/>
              <w:rPr>
                <w:rFonts w:cs="Tahoma"/>
                <w:b/>
              </w:rPr>
            </w:pPr>
            <w:r w:rsidRPr="002C705A">
              <w:rPr>
                <w:rFonts w:cs="Tahoma"/>
                <w:b/>
              </w:rPr>
              <w:t>Australian Fixed Interest</w:t>
            </w:r>
          </w:p>
        </w:tc>
        <w:tc>
          <w:tcPr>
            <w:tcW w:w="2013" w:type="dxa"/>
            <w:tcBorders>
              <w:top w:val="single" w:sz="18" w:space="0" w:color="auto"/>
              <w:left w:val="single" w:sz="18" w:space="0" w:color="auto"/>
              <w:bottom w:val="single" w:sz="18" w:space="0" w:color="auto"/>
              <w:right w:val="single" w:sz="18" w:space="0" w:color="auto"/>
            </w:tcBorders>
            <w:vAlign w:val="center"/>
          </w:tcPr>
          <w:p w14:paraId="7F5BAF1D" w14:textId="75C440F4"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7B59F9BF" w14:textId="6F527DE7" w:rsidR="009A3C1E" w:rsidRPr="00E42F5C" w:rsidRDefault="00E82828" w:rsidP="00E42F5C">
            <w:pPr>
              <w:jc w:val="center"/>
              <w:rPr>
                <w:rFonts w:cs="Tahoma"/>
              </w:rPr>
            </w:pPr>
            <w:r>
              <w:rPr>
                <w:rFonts w:cs="Tahoma"/>
              </w:rPr>
              <w:t>50</w:t>
            </w:r>
          </w:p>
        </w:tc>
      </w:tr>
      <w:tr w:rsidR="00E42F5C" w:rsidRPr="00E42F5C" w14:paraId="4370DD7F"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32F146A4" w14:textId="77777777" w:rsidR="009A3C1E" w:rsidRPr="002C705A" w:rsidRDefault="00CE0610" w:rsidP="00E42F5C">
            <w:pPr>
              <w:jc w:val="left"/>
              <w:rPr>
                <w:rFonts w:cs="Tahoma"/>
                <w:b/>
              </w:rPr>
            </w:pPr>
            <w:r w:rsidRPr="002C705A">
              <w:rPr>
                <w:rFonts w:cs="Tahoma"/>
                <w:b/>
              </w:rPr>
              <w:t>Cash</w:t>
            </w:r>
          </w:p>
        </w:tc>
        <w:tc>
          <w:tcPr>
            <w:tcW w:w="2013" w:type="dxa"/>
            <w:tcBorders>
              <w:top w:val="single" w:sz="18" w:space="0" w:color="auto"/>
              <w:left w:val="single" w:sz="18" w:space="0" w:color="auto"/>
              <w:bottom w:val="single" w:sz="18" w:space="0" w:color="auto"/>
              <w:right w:val="single" w:sz="18" w:space="0" w:color="auto"/>
            </w:tcBorders>
            <w:vAlign w:val="center"/>
          </w:tcPr>
          <w:p w14:paraId="6D2FC7DC" w14:textId="4AB5053F" w:rsidR="009A3C1E" w:rsidRPr="00E42F5C" w:rsidRDefault="00E82828" w:rsidP="00E42F5C">
            <w:pPr>
              <w:jc w:val="center"/>
              <w:rPr>
                <w:rFonts w:cs="Tahoma"/>
              </w:rPr>
            </w:pPr>
            <w:r>
              <w:rPr>
                <w:rFonts w:cs="Tahoma"/>
              </w:rPr>
              <w:t>2</w:t>
            </w:r>
          </w:p>
        </w:tc>
        <w:tc>
          <w:tcPr>
            <w:tcW w:w="2013" w:type="dxa"/>
            <w:tcBorders>
              <w:top w:val="single" w:sz="18" w:space="0" w:color="auto"/>
              <w:left w:val="single" w:sz="18" w:space="0" w:color="auto"/>
              <w:bottom w:val="single" w:sz="18" w:space="0" w:color="auto"/>
              <w:right w:val="single" w:sz="18" w:space="0" w:color="auto"/>
            </w:tcBorders>
            <w:vAlign w:val="center"/>
          </w:tcPr>
          <w:p w14:paraId="5D132B4C" w14:textId="15EC95EC" w:rsidR="009A3C1E" w:rsidRPr="00E42F5C" w:rsidRDefault="00E82828" w:rsidP="00E42F5C">
            <w:pPr>
              <w:jc w:val="center"/>
              <w:rPr>
                <w:rFonts w:cs="Tahoma"/>
              </w:rPr>
            </w:pPr>
            <w:r>
              <w:rPr>
                <w:rFonts w:cs="Tahoma"/>
              </w:rPr>
              <w:t>100</w:t>
            </w:r>
          </w:p>
        </w:tc>
      </w:tr>
      <w:tr w:rsidR="00E42F5C" w:rsidRPr="00E42F5C" w14:paraId="04D654C1"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5BEE37A3" w14:textId="77777777" w:rsidR="009A3C1E" w:rsidRPr="002C705A" w:rsidRDefault="00CE0610" w:rsidP="00E42F5C">
            <w:pPr>
              <w:jc w:val="left"/>
              <w:rPr>
                <w:rFonts w:cs="Tahoma"/>
                <w:b/>
              </w:rPr>
            </w:pPr>
            <w:r w:rsidRPr="002C705A">
              <w:rPr>
                <w:rFonts w:cs="Tahoma"/>
                <w:b/>
              </w:rPr>
              <w:t>Direct Property</w:t>
            </w:r>
          </w:p>
        </w:tc>
        <w:tc>
          <w:tcPr>
            <w:tcW w:w="2013" w:type="dxa"/>
            <w:tcBorders>
              <w:top w:val="single" w:sz="18" w:space="0" w:color="auto"/>
              <w:left w:val="single" w:sz="18" w:space="0" w:color="auto"/>
              <w:bottom w:val="single" w:sz="18" w:space="0" w:color="auto"/>
              <w:right w:val="single" w:sz="18" w:space="0" w:color="auto"/>
            </w:tcBorders>
            <w:vAlign w:val="center"/>
          </w:tcPr>
          <w:p w14:paraId="5CD954A2" w14:textId="30403030"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1890C4B0" w14:textId="298576C8" w:rsidR="009A3C1E" w:rsidRPr="00E42F5C" w:rsidRDefault="00E82828" w:rsidP="00E42F5C">
            <w:pPr>
              <w:jc w:val="center"/>
              <w:rPr>
                <w:rFonts w:cs="Tahoma"/>
              </w:rPr>
            </w:pPr>
            <w:r>
              <w:rPr>
                <w:rFonts w:cs="Tahoma"/>
              </w:rPr>
              <w:t>0</w:t>
            </w:r>
          </w:p>
        </w:tc>
      </w:tr>
      <w:tr w:rsidR="00E42F5C" w:rsidRPr="00E42F5C" w14:paraId="781601EA"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2D7E2829" w14:textId="77777777" w:rsidR="009A3C1E" w:rsidRPr="002C705A" w:rsidRDefault="00CE0610" w:rsidP="00E42F5C">
            <w:pPr>
              <w:jc w:val="left"/>
              <w:rPr>
                <w:rFonts w:cs="Tahoma"/>
                <w:b/>
              </w:rPr>
            </w:pPr>
            <w:r w:rsidRPr="002C705A">
              <w:rPr>
                <w:rFonts w:cs="Tahoma"/>
                <w:b/>
              </w:rPr>
              <w:t>Foreign Cash</w:t>
            </w:r>
          </w:p>
        </w:tc>
        <w:tc>
          <w:tcPr>
            <w:tcW w:w="2013" w:type="dxa"/>
            <w:tcBorders>
              <w:top w:val="single" w:sz="18" w:space="0" w:color="auto"/>
              <w:left w:val="single" w:sz="18" w:space="0" w:color="auto"/>
              <w:bottom w:val="single" w:sz="18" w:space="0" w:color="auto"/>
              <w:right w:val="single" w:sz="18" w:space="0" w:color="auto"/>
            </w:tcBorders>
            <w:vAlign w:val="center"/>
          </w:tcPr>
          <w:p w14:paraId="5BD781A3" w14:textId="002AAC3B"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759534C3" w14:textId="412843AC" w:rsidR="009A3C1E" w:rsidRPr="00E42F5C" w:rsidRDefault="00E82828" w:rsidP="00E42F5C">
            <w:pPr>
              <w:jc w:val="center"/>
              <w:rPr>
                <w:rFonts w:cs="Tahoma"/>
              </w:rPr>
            </w:pPr>
            <w:r>
              <w:rPr>
                <w:rFonts w:cs="Tahoma"/>
              </w:rPr>
              <w:t>50</w:t>
            </w:r>
          </w:p>
        </w:tc>
      </w:tr>
      <w:tr w:rsidR="00E42F5C" w:rsidRPr="00E42F5C" w14:paraId="51168011"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7F546F8E" w14:textId="77777777" w:rsidR="009A3C1E" w:rsidRPr="002C705A" w:rsidRDefault="00CE0610" w:rsidP="00E42F5C">
            <w:pPr>
              <w:jc w:val="left"/>
              <w:rPr>
                <w:rFonts w:cs="Tahoma"/>
                <w:b/>
              </w:rPr>
            </w:pPr>
            <w:r w:rsidRPr="002C705A">
              <w:rPr>
                <w:rFonts w:cs="Tahoma"/>
                <w:b/>
              </w:rPr>
              <w:t>International Equities</w:t>
            </w:r>
          </w:p>
        </w:tc>
        <w:tc>
          <w:tcPr>
            <w:tcW w:w="2013" w:type="dxa"/>
            <w:tcBorders>
              <w:top w:val="single" w:sz="18" w:space="0" w:color="auto"/>
              <w:left w:val="single" w:sz="18" w:space="0" w:color="auto"/>
              <w:bottom w:val="single" w:sz="18" w:space="0" w:color="auto"/>
              <w:right w:val="single" w:sz="18" w:space="0" w:color="auto"/>
            </w:tcBorders>
            <w:vAlign w:val="center"/>
          </w:tcPr>
          <w:p w14:paraId="65489D09" w14:textId="40B8E2A5"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2DBD4540" w14:textId="77A9DA37" w:rsidR="009A3C1E" w:rsidRPr="00E42F5C" w:rsidRDefault="00E82828" w:rsidP="00E42F5C">
            <w:pPr>
              <w:jc w:val="center"/>
              <w:rPr>
                <w:rFonts w:cs="Tahoma"/>
              </w:rPr>
            </w:pPr>
            <w:r>
              <w:rPr>
                <w:rFonts w:cs="Tahoma"/>
              </w:rPr>
              <w:t>50</w:t>
            </w:r>
          </w:p>
        </w:tc>
      </w:tr>
      <w:tr w:rsidR="00E42F5C" w:rsidRPr="00E42F5C" w14:paraId="25750D97"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673BE184" w14:textId="77777777" w:rsidR="009A3C1E" w:rsidRPr="002C705A" w:rsidRDefault="00CE0610" w:rsidP="00E42F5C">
            <w:pPr>
              <w:jc w:val="left"/>
              <w:rPr>
                <w:rFonts w:cs="Tahoma"/>
                <w:b/>
              </w:rPr>
            </w:pPr>
            <w:r w:rsidRPr="002C705A">
              <w:rPr>
                <w:rFonts w:cs="Tahoma"/>
                <w:b/>
              </w:rPr>
              <w:t>International Fixed Interest</w:t>
            </w:r>
          </w:p>
        </w:tc>
        <w:tc>
          <w:tcPr>
            <w:tcW w:w="2013" w:type="dxa"/>
            <w:tcBorders>
              <w:top w:val="single" w:sz="18" w:space="0" w:color="auto"/>
              <w:left w:val="single" w:sz="18" w:space="0" w:color="auto"/>
              <w:bottom w:val="single" w:sz="18" w:space="0" w:color="auto"/>
              <w:right w:val="single" w:sz="18" w:space="0" w:color="auto"/>
            </w:tcBorders>
            <w:vAlign w:val="center"/>
          </w:tcPr>
          <w:p w14:paraId="7F4780E2" w14:textId="4A257042"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75284892" w14:textId="3D63BEAB" w:rsidR="009A3C1E" w:rsidRPr="00E42F5C" w:rsidRDefault="00E82828" w:rsidP="00E42F5C">
            <w:pPr>
              <w:jc w:val="center"/>
              <w:rPr>
                <w:rFonts w:cs="Tahoma"/>
              </w:rPr>
            </w:pPr>
            <w:r>
              <w:rPr>
                <w:rFonts w:cs="Tahoma"/>
              </w:rPr>
              <w:t>30</w:t>
            </w:r>
          </w:p>
        </w:tc>
      </w:tr>
      <w:tr w:rsidR="00E42F5C" w:rsidRPr="00E42F5C" w14:paraId="6615E7EB"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169719C6" w14:textId="77777777" w:rsidR="009A3C1E" w:rsidRPr="002C705A" w:rsidRDefault="00CE0610" w:rsidP="00E42F5C">
            <w:pPr>
              <w:jc w:val="left"/>
              <w:rPr>
                <w:rFonts w:cs="Tahoma"/>
                <w:b/>
              </w:rPr>
            </w:pPr>
            <w:r w:rsidRPr="002C705A">
              <w:rPr>
                <w:rFonts w:cs="Tahoma"/>
                <w:b/>
              </w:rPr>
              <w:t>Listed Property</w:t>
            </w:r>
          </w:p>
        </w:tc>
        <w:tc>
          <w:tcPr>
            <w:tcW w:w="2013" w:type="dxa"/>
            <w:tcBorders>
              <w:top w:val="single" w:sz="18" w:space="0" w:color="auto"/>
              <w:left w:val="single" w:sz="18" w:space="0" w:color="auto"/>
              <w:bottom w:val="single" w:sz="18" w:space="0" w:color="auto"/>
              <w:right w:val="single" w:sz="18" w:space="0" w:color="auto"/>
            </w:tcBorders>
            <w:vAlign w:val="center"/>
          </w:tcPr>
          <w:p w14:paraId="3DC47215" w14:textId="369674B9"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34596F77" w14:textId="77BF976B" w:rsidR="009A3C1E" w:rsidRPr="00E42F5C" w:rsidRDefault="00E82828" w:rsidP="00E42F5C">
            <w:pPr>
              <w:jc w:val="center"/>
              <w:rPr>
                <w:rFonts w:cs="Tahoma"/>
              </w:rPr>
            </w:pPr>
            <w:r>
              <w:rPr>
                <w:rFonts w:cs="Tahoma"/>
              </w:rPr>
              <w:t>30</w:t>
            </w:r>
          </w:p>
        </w:tc>
      </w:tr>
      <w:tr w:rsidR="00E42F5C" w:rsidRPr="00E42F5C" w14:paraId="451BA19D" w14:textId="77777777" w:rsidTr="00B746A4">
        <w:trPr>
          <w:trHeight w:val="397"/>
          <w:jc w:val="center"/>
        </w:trPr>
        <w:tc>
          <w:tcPr>
            <w:tcW w:w="4084" w:type="dxa"/>
            <w:tcBorders>
              <w:top w:val="single" w:sz="18" w:space="0" w:color="FFFFFF" w:themeColor="accent6"/>
              <w:left w:val="single" w:sz="18" w:space="0" w:color="auto"/>
              <w:bottom w:val="single" w:sz="18" w:space="0" w:color="FFFFFF" w:themeColor="accent6"/>
              <w:right w:val="single" w:sz="18" w:space="0" w:color="auto"/>
            </w:tcBorders>
            <w:shd w:val="clear" w:color="auto" w:fill="F2F2F2" w:themeFill="accent6" w:themeFillShade="F2"/>
            <w:vAlign w:val="center"/>
          </w:tcPr>
          <w:p w14:paraId="716F0B58" w14:textId="77777777" w:rsidR="009A3C1E" w:rsidRPr="002C705A" w:rsidRDefault="00CE0610" w:rsidP="00E42F5C">
            <w:pPr>
              <w:jc w:val="left"/>
              <w:rPr>
                <w:rFonts w:cs="Tahoma"/>
                <w:b/>
              </w:rPr>
            </w:pPr>
            <w:r w:rsidRPr="002C705A">
              <w:rPr>
                <w:rFonts w:cs="Tahoma"/>
                <w:b/>
              </w:rPr>
              <w:t>Mortgages</w:t>
            </w:r>
          </w:p>
        </w:tc>
        <w:tc>
          <w:tcPr>
            <w:tcW w:w="2013" w:type="dxa"/>
            <w:tcBorders>
              <w:top w:val="single" w:sz="18" w:space="0" w:color="auto"/>
              <w:left w:val="single" w:sz="18" w:space="0" w:color="auto"/>
              <w:bottom w:val="single" w:sz="18" w:space="0" w:color="auto"/>
              <w:right w:val="single" w:sz="18" w:space="0" w:color="auto"/>
            </w:tcBorders>
            <w:vAlign w:val="center"/>
          </w:tcPr>
          <w:p w14:paraId="4C131B2A" w14:textId="0C20ECFE" w:rsidR="009A3C1E"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1405FF30" w14:textId="6FF79F85" w:rsidR="009A3C1E" w:rsidRPr="00E42F5C" w:rsidRDefault="00E82828" w:rsidP="00E42F5C">
            <w:pPr>
              <w:jc w:val="center"/>
              <w:rPr>
                <w:rFonts w:cs="Tahoma"/>
              </w:rPr>
            </w:pPr>
            <w:r>
              <w:rPr>
                <w:rFonts w:cs="Tahoma"/>
              </w:rPr>
              <w:t>50</w:t>
            </w:r>
          </w:p>
        </w:tc>
      </w:tr>
      <w:tr w:rsidR="00E42F5C" w:rsidRPr="00E42F5C" w14:paraId="633DFA4D" w14:textId="77777777" w:rsidTr="00B746A4">
        <w:trPr>
          <w:trHeight w:val="397"/>
          <w:jc w:val="center"/>
        </w:trPr>
        <w:tc>
          <w:tcPr>
            <w:tcW w:w="4084" w:type="dxa"/>
            <w:tcBorders>
              <w:top w:val="single" w:sz="18" w:space="0" w:color="FFFFFF" w:themeColor="accent6"/>
              <w:left w:val="single" w:sz="18" w:space="0" w:color="auto"/>
              <w:bottom w:val="single" w:sz="18" w:space="0" w:color="auto"/>
              <w:right w:val="single" w:sz="18" w:space="0" w:color="auto"/>
            </w:tcBorders>
            <w:shd w:val="clear" w:color="auto" w:fill="F2F2F2" w:themeFill="accent6" w:themeFillShade="F2"/>
            <w:vAlign w:val="center"/>
          </w:tcPr>
          <w:p w14:paraId="5013E152" w14:textId="77777777" w:rsidR="00CE0610" w:rsidRPr="002C705A" w:rsidRDefault="00CE0610" w:rsidP="00E42F5C">
            <w:pPr>
              <w:jc w:val="left"/>
              <w:rPr>
                <w:rFonts w:cs="Tahoma"/>
                <w:b/>
              </w:rPr>
            </w:pPr>
            <w:r w:rsidRPr="002C705A">
              <w:rPr>
                <w:rFonts w:cs="Tahoma"/>
                <w:b/>
              </w:rPr>
              <w:t>Other</w:t>
            </w:r>
          </w:p>
        </w:tc>
        <w:tc>
          <w:tcPr>
            <w:tcW w:w="2013" w:type="dxa"/>
            <w:tcBorders>
              <w:top w:val="single" w:sz="18" w:space="0" w:color="auto"/>
              <w:left w:val="single" w:sz="18" w:space="0" w:color="auto"/>
              <w:bottom w:val="single" w:sz="18" w:space="0" w:color="auto"/>
              <w:right w:val="single" w:sz="18" w:space="0" w:color="auto"/>
            </w:tcBorders>
            <w:vAlign w:val="center"/>
          </w:tcPr>
          <w:p w14:paraId="25B7E61A" w14:textId="09AFA3E3" w:rsidR="00CE0610" w:rsidRPr="00E42F5C" w:rsidRDefault="00E82828" w:rsidP="00E42F5C">
            <w:pPr>
              <w:jc w:val="center"/>
              <w:rPr>
                <w:rFonts w:cs="Tahoma"/>
              </w:rPr>
            </w:pPr>
            <w:r>
              <w:rPr>
                <w:rFonts w:cs="Tahoma"/>
              </w:rPr>
              <w:t>0</w:t>
            </w:r>
          </w:p>
        </w:tc>
        <w:tc>
          <w:tcPr>
            <w:tcW w:w="2013" w:type="dxa"/>
            <w:tcBorders>
              <w:top w:val="single" w:sz="18" w:space="0" w:color="auto"/>
              <w:left w:val="single" w:sz="18" w:space="0" w:color="auto"/>
              <w:bottom w:val="single" w:sz="18" w:space="0" w:color="auto"/>
              <w:right w:val="single" w:sz="18" w:space="0" w:color="auto"/>
            </w:tcBorders>
            <w:vAlign w:val="center"/>
          </w:tcPr>
          <w:p w14:paraId="1B0328B9" w14:textId="4C04B712" w:rsidR="00CE0610" w:rsidRPr="00E42F5C" w:rsidRDefault="00E82828" w:rsidP="00E42F5C">
            <w:pPr>
              <w:jc w:val="center"/>
              <w:rPr>
                <w:rFonts w:cs="Tahoma"/>
              </w:rPr>
            </w:pPr>
            <w:r>
              <w:rPr>
                <w:rFonts w:cs="Tahoma"/>
              </w:rPr>
              <w:t>30</w:t>
            </w:r>
          </w:p>
        </w:tc>
      </w:tr>
    </w:tbl>
    <w:p w14:paraId="5BB8458C" w14:textId="77777777" w:rsidR="00E42F5C" w:rsidRDefault="00E42F5C" w:rsidP="00E42F5C">
      <w:pPr>
        <w:pStyle w:val="NoSpacing"/>
      </w:pPr>
    </w:p>
    <w:p w14:paraId="4750E313" w14:textId="77777777" w:rsidR="00E42F5C" w:rsidRPr="00E42F5C" w:rsidRDefault="00E42F5C" w:rsidP="00E42F5C">
      <w:pPr>
        <w:pStyle w:val="NoSpacing"/>
        <w:rPr>
          <w:rFonts w:ascii="Tahoma" w:eastAsiaTheme="majorEastAsia" w:hAnsi="Tahoma" w:cs="Tahoma"/>
          <w:b/>
          <w:bCs/>
        </w:rPr>
      </w:pPr>
      <w:r>
        <w:br w:type="page"/>
      </w:r>
    </w:p>
    <w:p w14:paraId="05243A3B" w14:textId="77777777" w:rsidR="00CE0610" w:rsidRPr="002C705A" w:rsidRDefault="00CE0610" w:rsidP="00E42F5C">
      <w:pPr>
        <w:pStyle w:val="Heading1"/>
        <w:rPr>
          <w:color w:val="auto"/>
        </w:rPr>
      </w:pPr>
      <w:r w:rsidRPr="002C705A">
        <w:rPr>
          <w:color w:val="auto"/>
        </w:rPr>
        <w:lastRenderedPageBreak/>
        <w:t>Annual Review</w:t>
      </w:r>
    </w:p>
    <w:p w14:paraId="59DA933E" w14:textId="77777777" w:rsidR="00CE0610" w:rsidRDefault="00CE0610" w:rsidP="00CE0610">
      <w:r>
        <w:t>The Trustee will regularly monitor the investments and the investment management arrangements to access whether they are performing to expectations, and whether the overall strategy is achieving its objectives. The review will also address the investment environment – the taxation status of the fund, any Government regulations which inhibit investment alternatives, the availability of investment products in which to invest and assumptions with respect to the various markets.</w:t>
      </w:r>
    </w:p>
    <w:p w14:paraId="314F9900" w14:textId="77777777" w:rsidR="00CE0610" w:rsidRDefault="00CE0610" w:rsidP="00CE0610">
      <w:r>
        <w:t>The investment objectives and strategy will be reviewed on an annual basis to ensure that they remain suited to the Fund’s circumstances.</w:t>
      </w:r>
    </w:p>
    <w:p w14:paraId="55AD68EB" w14:textId="77777777" w:rsidR="00CE0610" w:rsidRDefault="00CE0610" w:rsidP="00CE0610">
      <w:r>
        <w:t>This investment strategy has been agreed to by the trustees. As confirmation of the adoption of the Superannuation Fund Investment Strategy, the signatures of the Trustees appear below.</w:t>
      </w:r>
    </w:p>
    <w:p w14:paraId="789EE9FE" w14:textId="77777777" w:rsidR="00B746A4" w:rsidRDefault="00B746A4" w:rsidP="00CE0610"/>
    <w:tbl>
      <w:tblPr>
        <w:tblStyle w:val="Style1"/>
        <w:tblW w:w="97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3453"/>
        <w:gridCol w:w="283"/>
        <w:gridCol w:w="1304"/>
        <w:gridCol w:w="3452"/>
      </w:tblGrid>
      <w:tr w:rsidR="00CE0610" w14:paraId="00D6C3CA" w14:textId="77777777" w:rsidTr="00B746A4">
        <w:trPr>
          <w:trHeight w:val="510"/>
        </w:trPr>
        <w:tc>
          <w:tcPr>
            <w:tcW w:w="1304" w:type="dxa"/>
            <w:tcBorders>
              <w:right w:val="single" w:sz="24" w:space="0" w:color="FFFFFF" w:themeColor="accent6"/>
            </w:tcBorders>
            <w:vAlign w:val="center"/>
          </w:tcPr>
          <w:p w14:paraId="0383A153" w14:textId="77777777" w:rsidR="00CE0610" w:rsidRPr="00E42F5C" w:rsidRDefault="00CE0610" w:rsidP="00162222">
            <w:pPr>
              <w:jc w:val="left"/>
              <w:rPr>
                <w:b/>
              </w:rPr>
            </w:pPr>
            <w:r w:rsidRPr="00E42F5C">
              <w:rPr>
                <w:b/>
              </w:rPr>
              <w:t>Signature</w:t>
            </w:r>
          </w:p>
        </w:tc>
        <w:tc>
          <w:tcPr>
            <w:tcW w:w="3453" w:type="dxa"/>
            <w:tcBorders>
              <w:top w:val="single" w:sz="24" w:space="0" w:color="FFFFFF" w:themeColor="accent6"/>
              <w:left w:val="single" w:sz="24" w:space="0" w:color="FFFFFF" w:themeColor="accent6"/>
              <w:bottom w:val="single" w:sz="24" w:space="0" w:color="FFFFFF" w:themeColor="accent6"/>
              <w:right w:val="single" w:sz="24" w:space="0" w:color="FFFFFF" w:themeColor="accent6"/>
            </w:tcBorders>
            <w:shd w:val="clear" w:color="auto" w:fill="F2F2F2" w:themeFill="accent6" w:themeFillShade="F2"/>
            <w:vAlign w:val="center"/>
          </w:tcPr>
          <w:p w14:paraId="6BD09DEE" w14:textId="77777777" w:rsidR="00CE0610" w:rsidRDefault="00CE0610" w:rsidP="00162222">
            <w:pPr>
              <w:jc w:val="left"/>
            </w:pPr>
          </w:p>
        </w:tc>
        <w:tc>
          <w:tcPr>
            <w:tcW w:w="283" w:type="dxa"/>
            <w:tcBorders>
              <w:left w:val="single" w:sz="24" w:space="0" w:color="FFFFFF" w:themeColor="accent6"/>
            </w:tcBorders>
            <w:vAlign w:val="center"/>
          </w:tcPr>
          <w:p w14:paraId="3D4796D1" w14:textId="77777777" w:rsidR="00CE0610" w:rsidRDefault="00CE0610" w:rsidP="00162222">
            <w:pPr>
              <w:jc w:val="left"/>
            </w:pPr>
          </w:p>
        </w:tc>
        <w:tc>
          <w:tcPr>
            <w:tcW w:w="1304" w:type="dxa"/>
            <w:tcBorders>
              <w:right w:val="single" w:sz="24" w:space="0" w:color="FFFFFF" w:themeColor="accent6"/>
            </w:tcBorders>
            <w:vAlign w:val="center"/>
          </w:tcPr>
          <w:p w14:paraId="7E71A45E" w14:textId="77777777" w:rsidR="00CE0610" w:rsidRPr="00E42F5C" w:rsidRDefault="00CE0610" w:rsidP="00162222">
            <w:pPr>
              <w:jc w:val="left"/>
              <w:rPr>
                <w:b/>
              </w:rPr>
            </w:pPr>
            <w:r w:rsidRPr="00E42F5C">
              <w:rPr>
                <w:b/>
              </w:rPr>
              <w:t>Signature</w:t>
            </w:r>
          </w:p>
        </w:tc>
        <w:tc>
          <w:tcPr>
            <w:tcW w:w="3452" w:type="dxa"/>
            <w:tcBorders>
              <w:top w:val="single" w:sz="24" w:space="0" w:color="FFFFFF" w:themeColor="accent6"/>
              <w:left w:val="single" w:sz="24" w:space="0" w:color="FFFFFF" w:themeColor="accent6"/>
              <w:bottom w:val="single" w:sz="24" w:space="0" w:color="FFFFFF" w:themeColor="accent6"/>
              <w:right w:val="single" w:sz="24" w:space="0" w:color="FFFFFF" w:themeColor="accent6"/>
            </w:tcBorders>
            <w:shd w:val="clear" w:color="auto" w:fill="F2F2F2" w:themeFill="accent6" w:themeFillShade="F2"/>
            <w:vAlign w:val="center"/>
          </w:tcPr>
          <w:p w14:paraId="68BB9F2F" w14:textId="77777777" w:rsidR="00CE0610" w:rsidRDefault="00CE0610" w:rsidP="00162222">
            <w:pPr>
              <w:jc w:val="left"/>
            </w:pPr>
          </w:p>
        </w:tc>
      </w:tr>
      <w:tr w:rsidR="00B746A4" w14:paraId="308CB694" w14:textId="77777777" w:rsidTr="00B746A4">
        <w:trPr>
          <w:trHeight w:val="510"/>
        </w:trPr>
        <w:tc>
          <w:tcPr>
            <w:tcW w:w="1304" w:type="dxa"/>
            <w:tcBorders>
              <w:right w:val="single" w:sz="24" w:space="0" w:color="FFFFFF" w:themeColor="accent6"/>
            </w:tcBorders>
            <w:vAlign w:val="center"/>
          </w:tcPr>
          <w:p w14:paraId="4A21DD92" w14:textId="77777777" w:rsidR="00B746A4" w:rsidRPr="00E42F5C" w:rsidRDefault="00B746A4" w:rsidP="00162222">
            <w:pPr>
              <w:jc w:val="left"/>
              <w:rPr>
                <w:b/>
              </w:rPr>
            </w:pPr>
            <w:r w:rsidRPr="00E42F5C">
              <w:rPr>
                <w:b/>
              </w:rPr>
              <w:t>Name</w:t>
            </w:r>
          </w:p>
        </w:tc>
        <w:tc>
          <w:tcPr>
            <w:tcW w:w="3453" w:type="dxa"/>
            <w:tcBorders>
              <w:top w:val="single" w:sz="24" w:space="0" w:color="FFFFFF" w:themeColor="accent6"/>
              <w:left w:val="single" w:sz="24" w:space="0" w:color="FFFFFF" w:themeColor="accent6"/>
              <w:bottom w:val="single" w:sz="24" w:space="0" w:color="FFFFFF" w:themeColor="accent6"/>
              <w:right w:val="single" w:sz="24" w:space="0" w:color="FFFFFF" w:themeColor="accent6"/>
            </w:tcBorders>
            <w:shd w:val="clear" w:color="auto" w:fill="F2F2F2" w:themeFill="accent6" w:themeFillShade="F2"/>
            <w:vAlign w:val="center"/>
          </w:tcPr>
          <w:p w14:paraId="103E04EE" w14:textId="463E54C0" w:rsidR="00B746A4" w:rsidRDefault="004830FD" w:rsidP="00B746A4">
            <w:pPr>
              <w:jc w:val="left"/>
            </w:pPr>
            <w:r>
              <w:fldChar w:fldCharType="begin"/>
            </w:r>
            <w:r>
              <w:instrText xml:space="preserve"> FILLIN   \* MERGEFORMAT </w:instrText>
            </w:r>
            <w:r>
              <w:fldChar w:fldCharType="separate"/>
            </w:r>
            <w:r w:rsidR="00822EE5">
              <w:t xml:space="preserve">David </w:t>
            </w:r>
            <w:r w:rsidR="00A57252">
              <w:t>Starkey</w:t>
            </w:r>
            <w:r>
              <w:fldChar w:fldCharType="end"/>
            </w:r>
          </w:p>
        </w:tc>
        <w:tc>
          <w:tcPr>
            <w:tcW w:w="283" w:type="dxa"/>
            <w:tcBorders>
              <w:left w:val="single" w:sz="24" w:space="0" w:color="FFFFFF" w:themeColor="accent6"/>
            </w:tcBorders>
            <w:vAlign w:val="center"/>
          </w:tcPr>
          <w:p w14:paraId="364FEA11" w14:textId="77777777" w:rsidR="00B746A4" w:rsidRDefault="00B746A4" w:rsidP="00162222">
            <w:pPr>
              <w:jc w:val="left"/>
            </w:pPr>
          </w:p>
        </w:tc>
        <w:tc>
          <w:tcPr>
            <w:tcW w:w="1304" w:type="dxa"/>
            <w:tcBorders>
              <w:right w:val="single" w:sz="24" w:space="0" w:color="FFFFFF" w:themeColor="accent6"/>
            </w:tcBorders>
            <w:vAlign w:val="center"/>
          </w:tcPr>
          <w:p w14:paraId="32D34C38" w14:textId="77777777" w:rsidR="00B746A4" w:rsidRPr="00E42F5C" w:rsidRDefault="00B746A4" w:rsidP="00162222">
            <w:pPr>
              <w:jc w:val="left"/>
              <w:rPr>
                <w:b/>
              </w:rPr>
            </w:pPr>
            <w:r w:rsidRPr="00E42F5C">
              <w:rPr>
                <w:b/>
              </w:rPr>
              <w:t>Name</w:t>
            </w:r>
          </w:p>
        </w:tc>
        <w:tc>
          <w:tcPr>
            <w:tcW w:w="3452" w:type="dxa"/>
            <w:tcBorders>
              <w:top w:val="single" w:sz="24" w:space="0" w:color="FFFFFF" w:themeColor="accent6"/>
              <w:left w:val="single" w:sz="24" w:space="0" w:color="FFFFFF" w:themeColor="accent6"/>
              <w:bottom w:val="single" w:sz="24" w:space="0" w:color="FFFFFF" w:themeColor="accent6"/>
              <w:right w:val="single" w:sz="24" w:space="0" w:color="FFFFFF" w:themeColor="accent6"/>
            </w:tcBorders>
            <w:shd w:val="clear" w:color="auto" w:fill="F2F2F2" w:themeFill="accent6" w:themeFillShade="F2"/>
            <w:vAlign w:val="center"/>
          </w:tcPr>
          <w:p w14:paraId="6F1FC31A" w14:textId="61F4531C" w:rsidR="00B746A4" w:rsidRDefault="004830FD" w:rsidP="0006282B">
            <w:pPr>
              <w:jc w:val="left"/>
            </w:pPr>
            <w:r>
              <w:fldChar w:fldCharType="begin"/>
            </w:r>
            <w:r>
              <w:instrText xml:space="preserve"> FILLIN   \* MERGEFORMAT </w:instrText>
            </w:r>
            <w:r>
              <w:fldChar w:fldCharType="separate"/>
            </w:r>
            <w:r w:rsidR="00A57252">
              <w:t>Belinda Starkey</w:t>
            </w:r>
            <w:r>
              <w:fldChar w:fldCharType="end"/>
            </w:r>
          </w:p>
        </w:tc>
      </w:tr>
    </w:tbl>
    <w:p w14:paraId="2145289B" w14:textId="77777777" w:rsidR="00B746A4" w:rsidRPr="009A3C1E" w:rsidRDefault="00B746A4" w:rsidP="00822EE5">
      <w:pPr>
        <w:jc w:val="left"/>
      </w:pPr>
    </w:p>
    <w:sectPr w:rsidR="00B746A4" w:rsidRPr="009A3C1E" w:rsidSect="00A85601">
      <w:footerReference w:type="default" r:id="rId8"/>
      <w:headerReference w:type="first" r:id="rId9"/>
      <w:pgSz w:w="11906" w:h="16838"/>
      <w:pgMar w:top="1440" w:right="1304" w:bottom="1440"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DA8CD" w14:textId="77777777" w:rsidR="004830FD" w:rsidRDefault="004830FD" w:rsidP="009A3C1E">
      <w:r>
        <w:separator/>
      </w:r>
    </w:p>
  </w:endnote>
  <w:endnote w:type="continuationSeparator" w:id="0">
    <w:p w14:paraId="68581A02" w14:textId="77777777" w:rsidR="004830FD" w:rsidRDefault="004830FD" w:rsidP="009A3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Tahoma Bold">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ffra">
    <w:altName w:val="Arial"/>
    <w:panose1 w:val="020B0604020202020204"/>
    <w:charset w:val="00"/>
    <w:family w:val="auto"/>
    <w:pitch w:val="variable"/>
    <w:sig w:usb0="A00000AF" w:usb1="5000205B" w:usb2="00000000" w:usb3="00000000" w:csb0="0000009B"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B6C87" w14:textId="77777777" w:rsidR="00162222" w:rsidRDefault="00162222">
    <w:pPr>
      <w:pStyle w:val="Footer"/>
    </w:pPr>
    <w:r>
      <w:t xml:space="preserve">Page | </w:t>
    </w:r>
    <w:r w:rsidR="00EA5814">
      <w:fldChar w:fldCharType="begin"/>
    </w:r>
    <w:r>
      <w:instrText xml:space="preserve"> PAGE   \* MERGEFORMAT </w:instrText>
    </w:r>
    <w:r w:rsidR="00EA5814">
      <w:fldChar w:fldCharType="separate"/>
    </w:r>
    <w:r w:rsidR="00592415">
      <w:rPr>
        <w:noProof/>
      </w:rPr>
      <w:t>2</w:t>
    </w:r>
    <w:r w:rsidR="00EA5814">
      <w:rPr>
        <w:noProof/>
      </w:rPr>
      <w:fldChar w:fldCharType="end"/>
    </w:r>
  </w:p>
  <w:p w14:paraId="30CF6D95" w14:textId="77777777" w:rsidR="00162222" w:rsidRDefault="00162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FB8C9C" w14:textId="77777777" w:rsidR="004830FD" w:rsidRDefault="004830FD" w:rsidP="009A3C1E">
      <w:r>
        <w:separator/>
      </w:r>
    </w:p>
  </w:footnote>
  <w:footnote w:type="continuationSeparator" w:id="0">
    <w:p w14:paraId="1D98013E" w14:textId="77777777" w:rsidR="004830FD" w:rsidRDefault="004830FD" w:rsidP="009A3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85471" w14:textId="77777777" w:rsidR="00831589" w:rsidRDefault="00162222" w:rsidP="00162222">
    <w:pPr>
      <w:pStyle w:val="Header"/>
      <w:tabs>
        <w:tab w:val="clear" w:pos="4513"/>
        <w:tab w:val="clear" w:pos="9026"/>
        <w:tab w:val="center" w:pos="464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8E2A5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1A32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FC4C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FAFE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9E5E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E8B3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622A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6275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76E008E"/>
    <w:lvl w:ilvl="0">
      <w:start w:val="1"/>
      <w:numFmt w:val="decimal"/>
      <w:lvlText w:val="%1."/>
      <w:lvlJc w:val="left"/>
      <w:pPr>
        <w:tabs>
          <w:tab w:val="num" w:pos="360"/>
        </w:tabs>
        <w:ind w:left="360" w:hanging="360"/>
      </w:pPr>
    </w:lvl>
  </w:abstractNum>
  <w:abstractNum w:abstractNumId="9" w15:restartNumberingAfterBreak="0">
    <w:nsid w:val="01EB3005"/>
    <w:multiLevelType w:val="multilevel"/>
    <w:tmpl w:val="D88AD2BE"/>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A7E2678"/>
    <w:multiLevelType w:val="hybridMultilevel"/>
    <w:tmpl w:val="276A8572"/>
    <w:lvl w:ilvl="0" w:tplc="C5DE51B0">
      <w:start w:val="1"/>
      <w:numFmt w:val="bullet"/>
      <w:pStyle w:val="NexiaPrimaryBullets"/>
      <w:lvlText w:val=""/>
      <w:lvlJc w:val="left"/>
      <w:pPr>
        <w:ind w:left="709" w:hanging="425"/>
      </w:pPr>
      <w:rPr>
        <w:rFonts w:ascii="Wingdings" w:hAnsi="Wingdings" w:hint="default"/>
      </w:rPr>
    </w:lvl>
    <w:lvl w:ilvl="1" w:tplc="CFD6E060">
      <w:start w:val="1"/>
      <w:numFmt w:val="bullet"/>
      <w:lvlText w:val="o"/>
      <w:lvlJc w:val="left"/>
      <w:pPr>
        <w:ind w:left="1559" w:hanging="368"/>
      </w:pPr>
      <w:rPr>
        <w:rFonts w:ascii="Courier New" w:hAnsi="Courier New" w:hint="default"/>
      </w:rPr>
    </w:lvl>
    <w:lvl w:ilvl="2" w:tplc="E410C15A">
      <w:start w:val="1"/>
      <w:numFmt w:val="bullet"/>
      <w:lvlText w:val=""/>
      <w:lvlJc w:val="left"/>
      <w:pPr>
        <w:ind w:left="1985" w:hanging="369"/>
      </w:pPr>
      <w:rPr>
        <w:rFonts w:ascii="Wingdings" w:hAnsi="Wingdings" w:hint="default"/>
      </w:rPr>
    </w:lvl>
    <w:lvl w:ilvl="3" w:tplc="5AF6F752">
      <w:start w:val="1"/>
      <w:numFmt w:val="bullet"/>
      <w:lvlText w:val=""/>
      <w:lvlJc w:val="left"/>
      <w:pPr>
        <w:ind w:left="2410" w:hanging="369"/>
      </w:pPr>
      <w:rPr>
        <w:rFonts w:ascii="Symbol" w:hAnsi="Symbol" w:hint="default"/>
      </w:rPr>
    </w:lvl>
    <w:lvl w:ilvl="4" w:tplc="0C090003" w:tentative="1">
      <w:start w:val="1"/>
      <w:numFmt w:val="bullet"/>
      <w:lvlText w:val="o"/>
      <w:lvlJc w:val="left"/>
      <w:pPr>
        <w:ind w:left="3262" w:hanging="360"/>
      </w:pPr>
      <w:rPr>
        <w:rFonts w:ascii="Courier New" w:hAnsi="Courier New" w:cs="Courier New" w:hint="default"/>
      </w:rPr>
    </w:lvl>
    <w:lvl w:ilvl="5" w:tplc="0C090005" w:tentative="1">
      <w:start w:val="1"/>
      <w:numFmt w:val="bullet"/>
      <w:lvlText w:val=""/>
      <w:lvlJc w:val="left"/>
      <w:pPr>
        <w:ind w:left="3982" w:hanging="360"/>
      </w:pPr>
      <w:rPr>
        <w:rFonts w:ascii="Wingdings" w:hAnsi="Wingdings" w:hint="default"/>
      </w:rPr>
    </w:lvl>
    <w:lvl w:ilvl="6" w:tplc="0C090001" w:tentative="1">
      <w:start w:val="1"/>
      <w:numFmt w:val="bullet"/>
      <w:lvlText w:val=""/>
      <w:lvlJc w:val="left"/>
      <w:pPr>
        <w:ind w:left="4702" w:hanging="360"/>
      </w:pPr>
      <w:rPr>
        <w:rFonts w:ascii="Symbol" w:hAnsi="Symbol" w:hint="default"/>
      </w:rPr>
    </w:lvl>
    <w:lvl w:ilvl="7" w:tplc="0C090003" w:tentative="1">
      <w:start w:val="1"/>
      <w:numFmt w:val="bullet"/>
      <w:lvlText w:val="o"/>
      <w:lvlJc w:val="left"/>
      <w:pPr>
        <w:ind w:left="5422" w:hanging="360"/>
      </w:pPr>
      <w:rPr>
        <w:rFonts w:ascii="Courier New" w:hAnsi="Courier New" w:cs="Courier New" w:hint="default"/>
      </w:rPr>
    </w:lvl>
    <w:lvl w:ilvl="8" w:tplc="0C090005" w:tentative="1">
      <w:start w:val="1"/>
      <w:numFmt w:val="bullet"/>
      <w:lvlText w:val=""/>
      <w:lvlJc w:val="left"/>
      <w:pPr>
        <w:ind w:left="6142" w:hanging="360"/>
      </w:pPr>
      <w:rPr>
        <w:rFonts w:ascii="Wingdings" w:hAnsi="Wingdings" w:hint="default"/>
      </w:rPr>
    </w:lvl>
  </w:abstractNum>
  <w:abstractNum w:abstractNumId="11" w15:restartNumberingAfterBreak="0">
    <w:nsid w:val="1DEB0400"/>
    <w:multiLevelType w:val="hybridMultilevel"/>
    <w:tmpl w:val="1EB2E890"/>
    <w:lvl w:ilvl="0" w:tplc="062872F2">
      <w:start w:val="1"/>
      <w:numFmt w:val="bullet"/>
      <w:pStyle w:val="NexiaNarrowSecondaryBullets"/>
      <w:lvlText w:val="̵"/>
      <w:lvlJc w:val="left"/>
      <w:pPr>
        <w:ind w:left="765" w:hanging="283"/>
      </w:pPr>
      <w:rPr>
        <w:rFonts w:ascii="Courier New" w:hAnsi="Courier New" w:hint="default"/>
      </w:rPr>
    </w:lvl>
    <w:lvl w:ilvl="1" w:tplc="0C090003" w:tentative="1">
      <w:start w:val="1"/>
      <w:numFmt w:val="bullet"/>
      <w:lvlText w:val="o"/>
      <w:lvlJc w:val="left"/>
      <w:pPr>
        <w:ind w:left="2234" w:hanging="360"/>
      </w:pPr>
      <w:rPr>
        <w:rFonts w:ascii="Courier New" w:hAnsi="Courier New" w:cs="Courier New" w:hint="default"/>
      </w:rPr>
    </w:lvl>
    <w:lvl w:ilvl="2" w:tplc="0C090005" w:tentative="1">
      <w:start w:val="1"/>
      <w:numFmt w:val="bullet"/>
      <w:lvlText w:val=""/>
      <w:lvlJc w:val="left"/>
      <w:pPr>
        <w:ind w:left="2954" w:hanging="360"/>
      </w:pPr>
      <w:rPr>
        <w:rFonts w:ascii="Wingdings" w:hAnsi="Wingdings" w:hint="default"/>
      </w:rPr>
    </w:lvl>
    <w:lvl w:ilvl="3" w:tplc="0C090001" w:tentative="1">
      <w:start w:val="1"/>
      <w:numFmt w:val="bullet"/>
      <w:lvlText w:val=""/>
      <w:lvlJc w:val="left"/>
      <w:pPr>
        <w:ind w:left="3674" w:hanging="360"/>
      </w:pPr>
      <w:rPr>
        <w:rFonts w:ascii="Symbol" w:hAnsi="Symbol" w:hint="default"/>
      </w:rPr>
    </w:lvl>
    <w:lvl w:ilvl="4" w:tplc="0C090003" w:tentative="1">
      <w:start w:val="1"/>
      <w:numFmt w:val="bullet"/>
      <w:lvlText w:val="o"/>
      <w:lvlJc w:val="left"/>
      <w:pPr>
        <w:ind w:left="4394" w:hanging="360"/>
      </w:pPr>
      <w:rPr>
        <w:rFonts w:ascii="Courier New" w:hAnsi="Courier New" w:cs="Courier New" w:hint="default"/>
      </w:rPr>
    </w:lvl>
    <w:lvl w:ilvl="5" w:tplc="0C090005" w:tentative="1">
      <w:start w:val="1"/>
      <w:numFmt w:val="bullet"/>
      <w:lvlText w:val=""/>
      <w:lvlJc w:val="left"/>
      <w:pPr>
        <w:ind w:left="5114" w:hanging="360"/>
      </w:pPr>
      <w:rPr>
        <w:rFonts w:ascii="Wingdings" w:hAnsi="Wingdings" w:hint="default"/>
      </w:rPr>
    </w:lvl>
    <w:lvl w:ilvl="6" w:tplc="0C090001" w:tentative="1">
      <w:start w:val="1"/>
      <w:numFmt w:val="bullet"/>
      <w:lvlText w:val=""/>
      <w:lvlJc w:val="left"/>
      <w:pPr>
        <w:ind w:left="5834" w:hanging="360"/>
      </w:pPr>
      <w:rPr>
        <w:rFonts w:ascii="Symbol" w:hAnsi="Symbol" w:hint="default"/>
      </w:rPr>
    </w:lvl>
    <w:lvl w:ilvl="7" w:tplc="0C090003" w:tentative="1">
      <w:start w:val="1"/>
      <w:numFmt w:val="bullet"/>
      <w:lvlText w:val="o"/>
      <w:lvlJc w:val="left"/>
      <w:pPr>
        <w:ind w:left="6554" w:hanging="360"/>
      </w:pPr>
      <w:rPr>
        <w:rFonts w:ascii="Courier New" w:hAnsi="Courier New" w:cs="Courier New" w:hint="default"/>
      </w:rPr>
    </w:lvl>
    <w:lvl w:ilvl="8" w:tplc="0C090005" w:tentative="1">
      <w:start w:val="1"/>
      <w:numFmt w:val="bullet"/>
      <w:lvlText w:val=""/>
      <w:lvlJc w:val="left"/>
      <w:pPr>
        <w:ind w:left="7274" w:hanging="360"/>
      </w:pPr>
      <w:rPr>
        <w:rFonts w:ascii="Wingdings" w:hAnsi="Wingdings" w:hint="default"/>
      </w:rPr>
    </w:lvl>
  </w:abstractNum>
  <w:abstractNum w:abstractNumId="12" w15:restartNumberingAfterBreak="0">
    <w:nsid w:val="1F293119"/>
    <w:multiLevelType w:val="hybridMultilevel"/>
    <w:tmpl w:val="705049C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3E451C"/>
    <w:multiLevelType w:val="hybridMultilevel"/>
    <w:tmpl w:val="825EFA00"/>
    <w:lvl w:ilvl="0" w:tplc="89C83E7A">
      <w:start w:val="1"/>
      <w:numFmt w:val="bullet"/>
      <w:pStyle w:val="ListBullet"/>
      <w:lvlText w:val=""/>
      <w:lvlJc w:val="left"/>
      <w:pPr>
        <w:tabs>
          <w:tab w:val="num" w:pos="3118"/>
        </w:tabs>
        <w:ind w:left="3118" w:hanging="283"/>
      </w:pPr>
      <w:rPr>
        <w:rFonts w:ascii="Wingdings" w:hAnsi="Wingdings" w:hint="default"/>
        <w:color w:val="FF0000"/>
      </w:rPr>
    </w:lvl>
    <w:lvl w:ilvl="1" w:tplc="EF56738A">
      <w:start w:val="1"/>
      <w:numFmt w:val="bullet"/>
      <w:lvlText w:val="-"/>
      <w:lvlJc w:val="left"/>
      <w:pPr>
        <w:tabs>
          <w:tab w:val="num" w:pos="851"/>
        </w:tabs>
        <w:ind w:left="851" w:hanging="284"/>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A811F2"/>
    <w:multiLevelType w:val="hybridMultilevel"/>
    <w:tmpl w:val="8DDA82A6"/>
    <w:lvl w:ilvl="0" w:tplc="81762300">
      <w:start w:val="1"/>
      <w:numFmt w:val="decimal"/>
      <w:lvlText w:val="1.%1."/>
      <w:lvlJc w:val="left"/>
      <w:pPr>
        <w:ind w:left="709" w:hanging="709"/>
      </w:pPr>
      <w:rPr>
        <w:rFonts w:ascii="Tahoma Bold" w:hAnsi="Tahoma Bold" w:hint="default"/>
        <w:b/>
        <w:i w:val="0"/>
        <w:color w:val="00B2A9"/>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8950F81"/>
    <w:multiLevelType w:val="hybridMultilevel"/>
    <w:tmpl w:val="DEF2990C"/>
    <w:lvl w:ilvl="0" w:tplc="B5AAE828">
      <w:start w:val="1"/>
      <w:numFmt w:val="bullet"/>
      <w:pStyle w:val="NexiaNarrowPrimaryBullets"/>
      <w:lvlText w:val=""/>
      <w:lvlJc w:val="left"/>
      <w:pPr>
        <w:ind w:left="425" w:hanging="283"/>
      </w:pPr>
      <w:rPr>
        <w:rFonts w:ascii="Wingdings" w:hAnsi="Wingdings"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15:restartNumberingAfterBreak="0">
    <w:nsid w:val="29196902"/>
    <w:multiLevelType w:val="multilevel"/>
    <w:tmpl w:val="2684F67C"/>
    <w:lvl w:ilvl="0">
      <w:start w:val="1"/>
      <w:numFmt w:val="upperLetter"/>
      <w:lvlText w:val="%1)"/>
      <w:lvlJc w:val="left"/>
      <w:pPr>
        <w:ind w:left="709" w:hanging="709"/>
      </w:pPr>
      <w:rPr>
        <w:rFonts w:asciiTheme="majorHAnsi" w:hAnsiTheme="majorHAnsi" w:hint="default"/>
        <w:b/>
        <w:color w:val="575756"/>
        <w:sz w:val="20"/>
      </w:rPr>
    </w:lvl>
    <w:lvl w:ilvl="1">
      <w:start w:val="1"/>
      <w:numFmt w:val="lowerLetter"/>
      <w:lvlText w:val="%2)"/>
      <w:lvlJc w:val="left"/>
      <w:pPr>
        <w:ind w:left="709" w:hanging="709"/>
      </w:pPr>
      <w:rPr>
        <w:rFonts w:hint="default"/>
      </w:rPr>
    </w:lvl>
    <w:lvl w:ilvl="2">
      <w:start w:val="1"/>
      <w:numFmt w:val="lowerRoman"/>
      <w:lvlText w:val="%3)"/>
      <w:lvlJc w:val="left"/>
      <w:pPr>
        <w:ind w:left="709" w:hanging="709"/>
      </w:pPr>
      <w:rPr>
        <w:rFonts w:hint="default"/>
      </w:rPr>
    </w:lvl>
    <w:lvl w:ilvl="3">
      <w:start w:val="1"/>
      <w:numFmt w:val="decimal"/>
      <w:lvlText w:val="(%4)"/>
      <w:lvlJc w:val="left"/>
      <w:pPr>
        <w:ind w:left="709" w:hanging="709"/>
      </w:pPr>
      <w:rPr>
        <w:rFonts w:hint="default"/>
      </w:rPr>
    </w:lvl>
    <w:lvl w:ilvl="4">
      <w:start w:val="1"/>
      <w:numFmt w:val="lowerLetter"/>
      <w:lvlText w:val="(%5)"/>
      <w:lvlJc w:val="left"/>
      <w:pPr>
        <w:ind w:left="709" w:hanging="709"/>
      </w:pPr>
      <w:rPr>
        <w:rFonts w:hint="default"/>
      </w:rPr>
    </w:lvl>
    <w:lvl w:ilvl="5">
      <w:start w:val="1"/>
      <w:numFmt w:val="lowerRoman"/>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7" w15:restartNumberingAfterBreak="0">
    <w:nsid w:val="29694A58"/>
    <w:multiLevelType w:val="hybridMultilevel"/>
    <w:tmpl w:val="2278DE20"/>
    <w:lvl w:ilvl="0" w:tplc="8CCC1162">
      <w:start w:val="1"/>
      <w:numFmt w:val="decimal"/>
      <w:pStyle w:val="NexiaPrimaryNumbers"/>
      <w:lvlText w:val="%1."/>
      <w:lvlJc w:val="left"/>
      <w:pPr>
        <w:ind w:left="1077" w:hanging="368"/>
      </w:pPr>
      <w:rPr>
        <w:rFonts w:hint="default"/>
      </w:rPr>
    </w:lvl>
    <w:lvl w:ilvl="1" w:tplc="E32A5562">
      <w:start w:val="1"/>
      <w:numFmt w:val="lowerLetter"/>
      <w:pStyle w:val="NexiaSecondaryNumbers"/>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CC95F0D"/>
    <w:multiLevelType w:val="hybridMultilevel"/>
    <w:tmpl w:val="1A464DDE"/>
    <w:lvl w:ilvl="0" w:tplc="4D260768">
      <w:start w:val="1"/>
      <w:numFmt w:val="bullet"/>
      <w:pStyle w:val="Table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1251AF"/>
    <w:multiLevelType w:val="hybridMultilevel"/>
    <w:tmpl w:val="DB6ECA1A"/>
    <w:lvl w:ilvl="0" w:tplc="3FD2EDD0">
      <w:start w:val="1"/>
      <w:numFmt w:val="decimal"/>
      <w:lvlText w:val="%1."/>
      <w:lvlJc w:val="left"/>
      <w:pPr>
        <w:ind w:left="709" w:hanging="709"/>
      </w:pPr>
      <w:rPr>
        <w:rFonts w:ascii="Tahoma Bold" w:hAnsi="Tahoma Bold" w:hint="default"/>
        <w:b/>
        <w:i w:val="0"/>
        <w:color w:val="00B2A9"/>
        <w:spacing w:val="0"/>
        <w:w w:val="100"/>
        <w:position w:val="0"/>
        <w:sz w:val="24"/>
      </w:rPr>
    </w:lvl>
    <w:lvl w:ilvl="1" w:tplc="953A6A5A">
      <w:start w:val="1"/>
      <w:numFmt w:val="decimal"/>
      <w:lvlText w:val="1.%2."/>
      <w:lvlJc w:val="left"/>
      <w:pPr>
        <w:ind w:left="851" w:hanging="851"/>
      </w:pPr>
      <w:rPr>
        <w:rFonts w:ascii="Tahoma Bold" w:hAnsi="Tahoma Bold" w:hint="default"/>
        <w:b/>
        <w:i w:val="0"/>
        <w:color w:val="00B2A9"/>
        <w:sz w:val="24"/>
      </w:rPr>
    </w:lvl>
    <w:lvl w:ilvl="2" w:tplc="5AB66F52">
      <w:start w:val="1"/>
      <w:numFmt w:val="lowerRoman"/>
      <w:lvlText w:val="%3."/>
      <w:lvlJc w:val="right"/>
      <w:pPr>
        <w:ind w:left="709" w:hanging="709"/>
      </w:pPr>
      <w:rPr>
        <w:rFonts w:hint="default"/>
      </w:rPr>
    </w:lvl>
    <w:lvl w:ilvl="3" w:tplc="0C09000F" w:tentative="1">
      <w:start w:val="1"/>
      <w:numFmt w:val="decimal"/>
      <w:lvlText w:val="%4."/>
      <w:lvlJc w:val="left"/>
      <w:pPr>
        <w:ind w:left="2880" w:hanging="360"/>
      </w:pPr>
    </w:lvl>
    <w:lvl w:ilvl="4" w:tplc="0C090019" w:tentative="1">
      <w:start w:val="1"/>
      <w:numFmt w:val="lowerLetter"/>
      <w:pStyle w:val="Heading5"/>
      <w:lvlText w:val="%5."/>
      <w:lvlJc w:val="left"/>
      <w:pPr>
        <w:ind w:left="3600" w:hanging="360"/>
      </w:pPr>
    </w:lvl>
    <w:lvl w:ilvl="5" w:tplc="0C09001B" w:tentative="1">
      <w:start w:val="1"/>
      <w:numFmt w:val="lowerRoman"/>
      <w:pStyle w:val="Heading6"/>
      <w:lvlText w:val="%6."/>
      <w:lvlJc w:val="right"/>
      <w:pPr>
        <w:ind w:left="4320" w:hanging="180"/>
      </w:pPr>
    </w:lvl>
    <w:lvl w:ilvl="6" w:tplc="0C09000F" w:tentative="1">
      <w:start w:val="1"/>
      <w:numFmt w:val="decimal"/>
      <w:pStyle w:val="Heading7"/>
      <w:lvlText w:val="%7."/>
      <w:lvlJc w:val="left"/>
      <w:pPr>
        <w:ind w:left="5040" w:hanging="360"/>
      </w:pPr>
    </w:lvl>
    <w:lvl w:ilvl="7" w:tplc="0C090019" w:tentative="1">
      <w:start w:val="1"/>
      <w:numFmt w:val="lowerLetter"/>
      <w:pStyle w:val="Heading8"/>
      <w:lvlText w:val="%8."/>
      <w:lvlJc w:val="left"/>
      <w:pPr>
        <w:ind w:left="5760" w:hanging="360"/>
      </w:pPr>
    </w:lvl>
    <w:lvl w:ilvl="8" w:tplc="0C09001B" w:tentative="1">
      <w:start w:val="1"/>
      <w:numFmt w:val="lowerRoman"/>
      <w:pStyle w:val="Heading9"/>
      <w:lvlText w:val="%9."/>
      <w:lvlJc w:val="right"/>
      <w:pPr>
        <w:ind w:left="6480" w:hanging="180"/>
      </w:pPr>
    </w:lvl>
  </w:abstractNum>
  <w:abstractNum w:abstractNumId="20" w15:restartNumberingAfterBreak="0">
    <w:nsid w:val="45674EA6"/>
    <w:multiLevelType w:val="hybridMultilevel"/>
    <w:tmpl w:val="04B01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5FC0E19"/>
    <w:multiLevelType w:val="multilevel"/>
    <w:tmpl w:val="B0A67464"/>
    <w:lvl w:ilvl="0">
      <w:start w:val="1"/>
      <w:numFmt w:val="decimal"/>
      <w:pStyle w:val="NexiaNumberedHeading1"/>
      <w:lvlText w:val="%1"/>
      <w:lvlJc w:val="left"/>
      <w:pPr>
        <w:ind w:left="709" w:hanging="709"/>
      </w:pPr>
      <w:rPr>
        <w:rFonts w:hint="default"/>
      </w:rPr>
    </w:lvl>
    <w:lvl w:ilvl="1">
      <w:start w:val="1"/>
      <w:numFmt w:val="decimal"/>
      <w:pStyle w:val="NexiaNumberedHeading11"/>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22" w15:restartNumberingAfterBreak="0">
    <w:nsid w:val="45FD2EEA"/>
    <w:multiLevelType w:val="multilevel"/>
    <w:tmpl w:val="F0DE39C4"/>
    <w:lvl w:ilvl="0">
      <w:start w:val="1"/>
      <w:numFmt w:val="bullet"/>
      <w:lvlText w:val=""/>
      <w:lvlJc w:val="left"/>
      <w:pPr>
        <w:ind w:left="1134" w:hanging="340"/>
      </w:pPr>
      <w:rPr>
        <w:rFonts w:ascii="Wingdings" w:hAnsi="Wingdings" w:hint="default"/>
        <w:sz w:val="20"/>
      </w:rPr>
    </w:lvl>
    <w:lvl w:ilvl="1">
      <w:start w:val="1"/>
      <w:numFmt w:val="bullet"/>
      <w:pStyle w:val="NexiaSecondaryBullets"/>
      <w:lvlText w:val="-"/>
      <w:lvlJc w:val="left"/>
      <w:pPr>
        <w:ind w:left="1276" w:hanging="425"/>
      </w:pPr>
      <w:rPr>
        <w:rFonts w:ascii="Effra" w:hAnsi="Effra" w:hint="default"/>
      </w:rPr>
    </w:lvl>
    <w:lvl w:ilvl="2">
      <w:start w:val="1"/>
      <w:numFmt w:val="bullet"/>
      <w:lvlText w:val=""/>
      <w:lvlJc w:val="left"/>
      <w:pPr>
        <w:ind w:left="1872" w:hanging="340"/>
      </w:pPr>
      <w:rPr>
        <w:rFonts w:ascii="Wingdings" w:hAnsi="Wingdings" w:hint="default"/>
      </w:rPr>
    </w:lvl>
    <w:lvl w:ilvl="3">
      <w:start w:val="1"/>
      <w:numFmt w:val="bullet"/>
      <w:lvlText w:val=""/>
      <w:lvlJc w:val="left"/>
      <w:pPr>
        <w:ind w:left="2241" w:hanging="340"/>
      </w:pPr>
      <w:rPr>
        <w:rFonts w:ascii="Symbol" w:hAnsi="Symbol" w:hint="default"/>
      </w:rPr>
    </w:lvl>
    <w:lvl w:ilvl="4">
      <w:start w:val="1"/>
      <w:numFmt w:val="bullet"/>
      <w:lvlText w:val="o"/>
      <w:lvlJc w:val="left"/>
      <w:pPr>
        <w:ind w:left="2610" w:hanging="340"/>
      </w:pPr>
      <w:rPr>
        <w:rFonts w:ascii="Courier New" w:hAnsi="Courier New" w:cs="Courier New" w:hint="default"/>
      </w:rPr>
    </w:lvl>
    <w:lvl w:ilvl="5">
      <w:start w:val="1"/>
      <w:numFmt w:val="bullet"/>
      <w:lvlText w:val=""/>
      <w:lvlJc w:val="left"/>
      <w:pPr>
        <w:ind w:left="2979" w:hanging="340"/>
      </w:pPr>
      <w:rPr>
        <w:rFonts w:ascii="Wingdings" w:hAnsi="Wingdings" w:hint="default"/>
      </w:rPr>
    </w:lvl>
    <w:lvl w:ilvl="6">
      <w:start w:val="1"/>
      <w:numFmt w:val="bullet"/>
      <w:lvlText w:val=""/>
      <w:lvlJc w:val="left"/>
      <w:pPr>
        <w:ind w:left="3348" w:hanging="340"/>
      </w:pPr>
      <w:rPr>
        <w:rFonts w:ascii="Symbol" w:hAnsi="Symbol" w:hint="default"/>
      </w:rPr>
    </w:lvl>
    <w:lvl w:ilvl="7">
      <w:start w:val="1"/>
      <w:numFmt w:val="bullet"/>
      <w:lvlText w:val="o"/>
      <w:lvlJc w:val="left"/>
      <w:pPr>
        <w:ind w:left="3717" w:hanging="340"/>
      </w:pPr>
      <w:rPr>
        <w:rFonts w:ascii="Courier New" w:hAnsi="Courier New" w:cs="Courier New" w:hint="default"/>
      </w:rPr>
    </w:lvl>
    <w:lvl w:ilvl="8">
      <w:start w:val="1"/>
      <w:numFmt w:val="bullet"/>
      <w:lvlText w:val=""/>
      <w:lvlJc w:val="left"/>
      <w:pPr>
        <w:ind w:left="4086" w:hanging="340"/>
      </w:pPr>
      <w:rPr>
        <w:rFonts w:ascii="Wingdings" w:hAnsi="Wingdings" w:hint="default"/>
      </w:rPr>
    </w:lvl>
  </w:abstractNum>
  <w:abstractNum w:abstractNumId="23" w15:restartNumberingAfterBreak="0">
    <w:nsid w:val="49E0646F"/>
    <w:multiLevelType w:val="hybridMultilevel"/>
    <w:tmpl w:val="DD02280C"/>
    <w:lvl w:ilvl="0" w:tplc="88F497E0">
      <w:start w:val="1"/>
      <w:numFmt w:val="lowerLetter"/>
      <w:pStyle w:val="NexiaNumberedHeading3"/>
      <w:lvlText w:val="%1)"/>
      <w:lvlJc w:val="left"/>
      <w:pPr>
        <w:ind w:left="709" w:hanging="709"/>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F646D36"/>
    <w:multiLevelType w:val="hybridMultilevel"/>
    <w:tmpl w:val="76EA8E4A"/>
    <w:lvl w:ilvl="0" w:tplc="59B040C6">
      <w:start w:val="1"/>
      <w:numFmt w:val="decimal"/>
      <w:pStyle w:val="NexiaNumberingRiskHeadings"/>
      <w:lvlText w:val="R%1."/>
      <w:lvlJc w:val="left"/>
      <w:pPr>
        <w:ind w:left="567" w:hanging="567"/>
      </w:pPr>
      <w:rPr>
        <w:rFonts w:ascii="Tahoma" w:hAnsi="Tahoma" w:hint="default"/>
        <w:b/>
        <w:i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6674A63"/>
    <w:multiLevelType w:val="hybridMultilevel"/>
    <w:tmpl w:val="D6FE8B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76433EB"/>
    <w:multiLevelType w:val="hybridMultilevel"/>
    <w:tmpl w:val="46A0C0AA"/>
    <w:lvl w:ilvl="0" w:tplc="DBFC04C8">
      <w:start w:val="1"/>
      <w:numFmt w:val="decimal"/>
      <w:pStyle w:val="NexiaNumberingControlDeficiencyHeadings"/>
      <w:lvlText w:val="C%1."/>
      <w:lvlJc w:val="left"/>
      <w:pPr>
        <w:ind w:left="567" w:hanging="56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9B51A61"/>
    <w:multiLevelType w:val="multilevel"/>
    <w:tmpl w:val="0C09001D"/>
    <w:lvl w:ilvl="0">
      <w:start w:val="1"/>
      <w:numFmt w:val="decimal"/>
      <w:lvlText w:val="%1)"/>
      <w:lvlJc w:val="left"/>
      <w:pPr>
        <w:ind w:left="360" w:hanging="360"/>
      </w:pPr>
      <w:rPr>
        <w:rFonts w:ascii="Tahoma" w:hAnsi="Tahoma"/>
        <w:color w:val="575756"/>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C0A1919"/>
    <w:multiLevelType w:val="multilevel"/>
    <w:tmpl w:val="3BCC71DA"/>
    <w:lvl w:ilvl="0">
      <w:start w:val="1"/>
      <w:numFmt w:val="upperLetter"/>
      <w:pStyle w:val="NexiaNumberedHeading2"/>
      <w:lvlText w:val="%1."/>
      <w:lvlJc w:val="left"/>
      <w:pPr>
        <w:ind w:left="709" w:hanging="709"/>
      </w:pPr>
      <w:rPr>
        <w:rFonts w:ascii="Tahoma" w:hAnsi="Tahoma" w:hint="default"/>
        <w:b/>
        <w:i w:val="0"/>
        <w:color w:val="575756"/>
        <w:spacing w:val="0"/>
        <w:w w:val="100"/>
        <w:position w:val="0"/>
        <w:sz w:val="20"/>
      </w:rPr>
    </w:lvl>
    <w:lvl w:ilvl="1">
      <w:start w:val="1"/>
      <w:numFmt w:val="upperLetter"/>
      <w:lvlText w:val="%2."/>
      <w:lvlJc w:val="left"/>
      <w:pPr>
        <w:ind w:left="1560"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29" w15:restartNumberingAfterBreak="0">
    <w:nsid w:val="6C746C9A"/>
    <w:multiLevelType w:val="multilevel"/>
    <w:tmpl w:val="DC3450CA"/>
    <w:lvl w:ilvl="0">
      <w:start w:val="1"/>
      <w:numFmt w:val="decimal"/>
      <w:lvlText w:val="%1."/>
      <w:lvlJc w:val="left"/>
      <w:pPr>
        <w:ind w:left="709" w:hanging="709"/>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F921579"/>
    <w:multiLevelType w:val="multilevel"/>
    <w:tmpl w:val="71C8866A"/>
    <w:lvl w:ilvl="0">
      <w:start w:val="1"/>
      <w:numFmt w:val="decimal"/>
      <w:lvlText w:val="%1."/>
      <w:lvlJc w:val="left"/>
      <w:pPr>
        <w:ind w:left="709" w:hanging="709"/>
      </w:pPr>
      <w:rPr>
        <w:rFonts w:hint="default"/>
      </w:rPr>
    </w:lvl>
    <w:lvl w:ilvl="1">
      <w:start w:val="1"/>
      <w:numFmt w:val="upperLetter"/>
      <w:lvlText w:val="%2."/>
      <w:lvlJc w:val="left"/>
      <w:pPr>
        <w:ind w:left="1560"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31" w15:restartNumberingAfterBreak="0">
    <w:nsid w:val="7B0C417D"/>
    <w:multiLevelType w:val="hybridMultilevel"/>
    <w:tmpl w:val="30C2D93C"/>
    <w:lvl w:ilvl="0" w:tplc="0C090005">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26"/>
  </w:num>
  <w:num w:numId="3">
    <w:abstractNumId w:val="10"/>
  </w:num>
  <w:num w:numId="4">
    <w:abstractNumId w:val="22"/>
  </w:num>
  <w:num w:numId="5">
    <w:abstractNumId w:val="17"/>
  </w:num>
  <w:num w:numId="6">
    <w:abstractNumId w:val="24"/>
  </w:num>
  <w:num w:numId="7">
    <w:abstractNumId w:val="13"/>
  </w:num>
  <w:num w:numId="8">
    <w:abstractNumId w:val="18"/>
  </w:num>
  <w:num w:numId="9">
    <w:abstractNumId w:val="27"/>
  </w:num>
  <w:num w:numId="10">
    <w:abstractNumId w:val="16"/>
  </w:num>
  <w:num w:numId="11">
    <w:abstractNumId w:val="30"/>
  </w:num>
  <w:num w:numId="12">
    <w:abstractNumId w:val="28"/>
  </w:num>
  <w:num w:numId="13">
    <w:abstractNumId w:val="11"/>
    <w:lvlOverride w:ilvl="0">
      <w:startOverride w:val="1"/>
    </w:lvlOverride>
  </w:num>
  <w:num w:numId="14">
    <w:abstractNumId w:val="10"/>
  </w:num>
  <w:num w:numId="15">
    <w:abstractNumId w:val="22"/>
  </w:num>
  <w:num w:numId="16">
    <w:abstractNumId w:val="15"/>
  </w:num>
  <w:num w:numId="17">
    <w:abstractNumId w:val="11"/>
  </w:num>
  <w:num w:numId="18">
    <w:abstractNumId w:val="19"/>
  </w:num>
  <w:num w:numId="19">
    <w:abstractNumId w:val="21"/>
  </w:num>
  <w:num w:numId="20">
    <w:abstractNumId w:val="29"/>
  </w:num>
  <w:num w:numId="21">
    <w:abstractNumId w:val="23"/>
  </w:num>
  <w:num w:numId="22">
    <w:abstractNumId w:val="14"/>
  </w:num>
  <w:num w:numId="23">
    <w:abstractNumId w:val="19"/>
  </w:num>
  <w:num w:numId="24">
    <w:abstractNumId w:val="19"/>
  </w:num>
  <w:num w:numId="25">
    <w:abstractNumId w:val="19"/>
  </w:num>
  <w:num w:numId="26">
    <w:abstractNumId w:val="1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8"/>
  </w:num>
  <w:num w:numId="37">
    <w:abstractNumId w:val="25"/>
  </w:num>
  <w:num w:numId="38">
    <w:abstractNumId w:val="31"/>
  </w:num>
  <w:num w:numId="39">
    <w:abstractNumId w:val="12"/>
  </w:num>
  <w:num w:numId="40">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5814"/>
    <w:rsid w:val="00023E9C"/>
    <w:rsid w:val="00024C98"/>
    <w:rsid w:val="00026EE5"/>
    <w:rsid w:val="00031314"/>
    <w:rsid w:val="00051B27"/>
    <w:rsid w:val="0005236A"/>
    <w:rsid w:val="00057602"/>
    <w:rsid w:val="00091D84"/>
    <w:rsid w:val="000E01D9"/>
    <w:rsid w:val="0010735A"/>
    <w:rsid w:val="001312BB"/>
    <w:rsid w:val="00162222"/>
    <w:rsid w:val="00193588"/>
    <w:rsid w:val="00193C15"/>
    <w:rsid w:val="0019781C"/>
    <w:rsid w:val="001A6E77"/>
    <w:rsid w:val="001A753F"/>
    <w:rsid w:val="001B2ADC"/>
    <w:rsid w:val="001E05A6"/>
    <w:rsid w:val="001E79F5"/>
    <w:rsid w:val="001F6BB7"/>
    <w:rsid w:val="00200371"/>
    <w:rsid w:val="002149CD"/>
    <w:rsid w:val="002200AA"/>
    <w:rsid w:val="00234636"/>
    <w:rsid w:val="00255350"/>
    <w:rsid w:val="00262645"/>
    <w:rsid w:val="002645B6"/>
    <w:rsid w:val="002B0BB5"/>
    <w:rsid w:val="002C0A0F"/>
    <w:rsid w:val="002C1649"/>
    <w:rsid w:val="002C705A"/>
    <w:rsid w:val="002D5457"/>
    <w:rsid w:val="002E1D42"/>
    <w:rsid w:val="002E3DD8"/>
    <w:rsid w:val="002F3442"/>
    <w:rsid w:val="0030677D"/>
    <w:rsid w:val="00317536"/>
    <w:rsid w:val="003215BF"/>
    <w:rsid w:val="00323CDD"/>
    <w:rsid w:val="0034022C"/>
    <w:rsid w:val="00344353"/>
    <w:rsid w:val="00355142"/>
    <w:rsid w:val="003743B6"/>
    <w:rsid w:val="003846B8"/>
    <w:rsid w:val="0038782E"/>
    <w:rsid w:val="00394C5D"/>
    <w:rsid w:val="003B00CA"/>
    <w:rsid w:val="003C19C5"/>
    <w:rsid w:val="003E0F88"/>
    <w:rsid w:val="0040202A"/>
    <w:rsid w:val="0041157A"/>
    <w:rsid w:val="004163C2"/>
    <w:rsid w:val="00416CB2"/>
    <w:rsid w:val="0042162B"/>
    <w:rsid w:val="0043284B"/>
    <w:rsid w:val="004600A4"/>
    <w:rsid w:val="00465AC5"/>
    <w:rsid w:val="0048283C"/>
    <w:rsid w:val="004830FD"/>
    <w:rsid w:val="00496646"/>
    <w:rsid w:val="004A0DFC"/>
    <w:rsid w:val="004A7A4E"/>
    <w:rsid w:val="004D644E"/>
    <w:rsid w:val="00504E8F"/>
    <w:rsid w:val="0051442C"/>
    <w:rsid w:val="00523B46"/>
    <w:rsid w:val="00541303"/>
    <w:rsid w:val="00592415"/>
    <w:rsid w:val="005B3592"/>
    <w:rsid w:val="005D34D2"/>
    <w:rsid w:val="005F0AAA"/>
    <w:rsid w:val="00620778"/>
    <w:rsid w:val="00621833"/>
    <w:rsid w:val="00636279"/>
    <w:rsid w:val="0064043A"/>
    <w:rsid w:val="00647C64"/>
    <w:rsid w:val="0065656A"/>
    <w:rsid w:val="0067087A"/>
    <w:rsid w:val="00686CF0"/>
    <w:rsid w:val="00692C92"/>
    <w:rsid w:val="006C3D0B"/>
    <w:rsid w:val="006F29DB"/>
    <w:rsid w:val="006F3F95"/>
    <w:rsid w:val="00701402"/>
    <w:rsid w:val="00701FCC"/>
    <w:rsid w:val="00713448"/>
    <w:rsid w:val="00724418"/>
    <w:rsid w:val="0074514F"/>
    <w:rsid w:val="00751103"/>
    <w:rsid w:val="00751399"/>
    <w:rsid w:val="007653F2"/>
    <w:rsid w:val="00781CCF"/>
    <w:rsid w:val="00786943"/>
    <w:rsid w:val="00793DFE"/>
    <w:rsid w:val="007A0133"/>
    <w:rsid w:val="007B263E"/>
    <w:rsid w:val="007D04F7"/>
    <w:rsid w:val="007D6AC7"/>
    <w:rsid w:val="007E5C83"/>
    <w:rsid w:val="007F2D3A"/>
    <w:rsid w:val="008204B5"/>
    <w:rsid w:val="00822EE5"/>
    <w:rsid w:val="00825A34"/>
    <w:rsid w:val="00831589"/>
    <w:rsid w:val="008337FA"/>
    <w:rsid w:val="00885E04"/>
    <w:rsid w:val="00891F9B"/>
    <w:rsid w:val="008A0000"/>
    <w:rsid w:val="008A644D"/>
    <w:rsid w:val="008A72AA"/>
    <w:rsid w:val="008D148C"/>
    <w:rsid w:val="008D66F2"/>
    <w:rsid w:val="00903951"/>
    <w:rsid w:val="00917AD3"/>
    <w:rsid w:val="009202D4"/>
    <w:rsid w:val="009467CF"/>
    <w:rsid w:val="00975BD3"/>
    <w:rsid w:val="009A3530"/>
    <w:rsid w:val="009A3C1E"/>
    <w:rsid w:val="009A52CF"/>
    <w:rsid w:val="009C394B"/>
    <w:rsid w:val="009C670D"/>
    <w:rsid w:val="009D367F"/>
    <w:rsid w:val="009D7A83"/>
    <w:rsid w:val="009E59AA"/>
    <w:rsid w:val="00A12DF0"/>
    <w:rsid w:val="00A21E63"/>
    <w:rsid w:val="00A57252"/>
    <w:rsid w:val="00A85601"/>
    <w:rsid w:val="00AA0988"/>
    <w:rsid w:val="00AA6422"/>
    <w:rsid w:val="00AB7176"/>
    <w:rsid w:val="00AE2CA3"/>
    <w:rsid w:val="00AE5F51"/>
    <w:rsid w:val="00AF2588"/>
    <w:rsid w:val="00B00726"/>
    <w:rsid w:val="00B23DD7"/>
    <w:rsid w:val="00B327FE"/>
    <w:rsid w:val="00B619C3"/>
    <w:rsid w:val="00B746A4"/>
    <w:rsid w:val="00BD70CD"/>
    <w:rsid w:val="00BF04E5"/>
    <w:rsid w:val="00BF451C"/>
    <w:rsid w:val="00C0643B"/>
    <w:rsid w:val="00C11ECD"/>
    <w:rsid w:val="00C13E15"/>
    <w:rsid w:val="00C2001C"/>
    <w:rsid w:val="00C27729"/>
    <w:rsid w:val="00C34F7F"/>
    <w:rsid w:val="00C41E88"/>
    <w:rsid w:val="00C5357E"/>
    <w:rsid w:val="00C655B8"/>
    <w:rsid w:val="00C757B1"/>
    <w:rsid w:val="00C85F9B"/>
    <w:rsid w:val="00CC0705"/>
    <w:rsid w:val="00CC46E3"/>
    <w:rsid w:val="00CE0610"/>
    <w:rsid w:val="00CE5629"/>
    <w:rsid w:val="00CE59D6"/>
    <w:rsid w:val="00D10320"/>
    <w:rsid w:val="00D10C57"/>
    <w:rsid w:val="00D3770D"/>
    <w:rsid w:val="00D40604"/>
    <w:rsid w:val="00D7667F"/>
    <w:rsid w:val="00D8053B"/>
    <w:rsid w:val="00D836DC"/>
    <w:rsid w:val="00D851D1"/>
    <w:rsid w:val="00DC15ED"/>
    <w:rsid w:val="00DE09A6"/>
    <w:rsid w:val="00E001DC"/>
    <w:rsid w:val="00E055F4"/>
    <w:rsid w:val="00E156BB"/>
    <w:rsid w:val="00E217EF"/>
    <w:rsid w:val="00E4127E"/>
    <w:rsid w:val="00E42799"/>
    <w:rsid w:val="00E42F5C"/>
    <w:rsid w:val="00E5065D"/>
    <w:rsid w:val="00E73A0C"/>
    <w:rsid w:val="00E800BA"/>
    <w:rsid w:val="00E82828"/>
    <w:rsid w:val="00E86FC3"/>
    <w:rsid w:val="00E976A0"/>
    <w:rsid w:val="00EA5814"/>
    <w:rsid w:val="00EB1F86"/>
    <w:rsid w:val="00EC6B73"/>
    <w:rsid w:val="00EF0B5C"/>
    <w:rsid w:val="00EF4C8D"/>
    <w:rsid w:val="00F13649"/>
    <w:rsid w:val="00F35918"/>
    <w:rsid w:val="00F46CC6"/>
    <w:rsid w:val="00FB1015"/>
    <w:rsid w:val="00FB1780"/>
    <w:rsid w:val="00FC177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8533D"/>
  <w15:docId w15:val="{381215D0-5A9C-E141-9D89-A0F3A668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AU"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1"/>
    <w:lsdException w:name="heading 5" w:semiHidden="1" w:uiPriority="11" w:qFormat="1"/>
    <w:lsdException w:name="heading 6" w:semiHidden="1" w:uiPriority="11" w:qFormat="1"/>
    <w:lsdException w:name="heading 7" w:semiHidden="1" w:uiPriority="11" w:qFormat="1"/>
    <w:lsdException w:name="heading 8" w:semiHidden="1" w:uiPriority="11" w:qFormat="1"/>
    <w:lsdException w:name="heading 9" w:semiHidden="1" w:uiPriority="1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10" w:qFormat="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exia Paragraph"/>
    <w:qFormat/>
    <w:rsid w:val="00CE0610"/>
    <w:pPr>
      <w:jc w:val="both"/>
    </w:pPr>
  </w:style>
  <w:style w:type="paragraph" w:styleId="Heading1">
    <w:name w:val="heading 1"/>
    <w:aliases w:val="Nexia Heading 1"/>
    <w:basedOn w:val="Normal"/>
    <w:next w:val="Normal"/>
    <w:link w:val="Heading1Char"/>
    <w:uiPriority w:val="9"/>
    <w:qFormat/>
    <w:rsid w:val="00E42799"/>
    <w:pPr>
      <w:keepNext/>
      <w:keepLines/>
      <w:spacing w:before="360" w:after="120"/>
      <w:outlineLvl w:val="0"/>
    </w:pPr>
    <w:rPr>
      <w:rFonts w:ascii="Tahoma" w:eastAsiaTheme="majorEastAsia" w:hAnsi="Tahoma" w:cs="Tahoma"/>
      <w:b/>
      <w:bCs/>
      <w:color w:val="00B2A9"/>
      <w:sz w:val="24"/>
      <w:szCs w:val="28"/>
    </w:rPr>
  </w:style>
  <w:style w:type="paragraph" w:styleId="Heading2">
    <w:name w:val="heading 2"/>
    <w:aliases w:val="Nexia Heading 2"/>
    <w:basedOn w:val="Normal"/>
    <w:next w:val="Normal"/>
    <w:link w:val="Heading2Char"/>
    <w:uiPriority w:val="9"/>
    <w:unhideWhenUsed/>
    <w:qFormat/>
    <w:rsid w:val="00686CF0"/>
    <w:pPr>
      <w:outlineLvl w:val="1"/>
    </w:pPr>
    <w:rPr>
      <w:rFonts w:asciiTheme="majorHAnsi" w:hAnsiTheme="majorHAnsi" w:cstheme="majorHAnsi"/>
      <w:b/>
      <w:color w:val="575756"/>
      <w:sz w:val="22"/>
      <w:szCs w:val="22"/>
    </w:rPr>
  </w:style>
  <w:style w:type="paragraph" w:styleId="Heading3">
    <w:name w:val="heading 3"/>
    <w:aliases w:val="Nexia Heading 3"/>
    <w:basedOn w:val="Normal"/>
    <w:next w:val="Normal"/>
    <w:link w:val="Heading3Char"/>
    <w:uiPriority w:val="9"/>
    <w:unhideWhenUsed/>
    <w:qFormat/>
    <w:rsid w:val="009A3C1E"/>
    <w:pPr>
      <w:outlineLvl w:val="2"/>
    </w:pPr>
    <w:rPr>
      <w:rFonts w:asciiTheme="majorHAnsi" w:hAnsiTheme="majorHAnsi" w:cstheme="majorHAnsi"/>
      <w:b/>
      <w:color w:val="0D5257"/>
      <w:sz w:val="23"/>
    </w:rPr>
  </w:style>
  <w:style w:type="paragraph" w:styleId="Heading5">
    <w:name w:val="heading 5"/>
    <w:basedOn w:val="Normal"/>
    <w:next w:val="Normal"/>
    <w:link w:val="Heading5Char"/>
    <w:uiPriority w:val="11"/>
    <w:semiHidden/>
    <w:qFormat/>
    <w:rsid w:val="00E42799"/>
    <w:pPr>
      <w:keepNext/>
      <w:keepLines/>
      <w:numPr>
        <w:ilvl w:val="4"/>
        <w:numId w:val="23"/>
      </w:numPr>
      <w:spacing w:before="200" w:after="0"/>
      <w:outlineLvl w:val="4"/>
    </w:pPr>
    <w:rPr>
      <w:rFonts w:asciiTheme="majorHAnsi" w:eastAsiaTheme="majorEastAsia" w:hAnsiTheme="majorHAnsi" w:cstheme="majorBidi"/>
      <w:color w:val="0B4160" w:themeColor="accent1" w:themeShade="7F"/>
    </w:rPr>
  </w:style>
  <w:style w:type="paragraph" w:styleId="Heading6">
    <w:name w:val="heading 6"/>
    <w:basedOn w:val="Normal"/>
    <w:next w:val="Normal"/>
    <w:link w:val="Heading6Char"/>
    <w:uiPriority w:val="11"/>
    <w:semiHidden/>
    <w:qFormat/>
    <w:rsid w:val="00E42799"/>
    <w:pPr>
      <w:keepNext/>
      <w:keepLines/>
      <w:numPr>
        <w:ilvl w:val="5"/>
        <w:numId w:val="23"/>
      </w:numPr>
      <w:spacing w:before="200" w:after="0"/>
      <w:outlineLvl w:val="5"/>
    </w:pPr>
    <w:rPr>
      <w:rFonts w:asciiTheme="majorHAnsi" w:eastAsiaTheme="majorEastAsia" w:hAnsiTheme="majorHAnsi" w:cstheme="majorBidi"/>
      <w:i/>
      <w:iCs/>
      <w:color w:val="0B4160" w:themeColor="accent1" w:themeShade="7F"/>
    </w:rPr>
  </w:style>
  <w:style w:type="paragraph" w:styleId="Heading7">
    <w:name w:val="heading 7"/>
    <w:basedOn w:val="Normal"/>
    <w:next w:val="Normal"/>
    <w:link w:val="Heading7Char"/>
    <w:uiPriority w:val="11"/>
    <w:semiHidden/>
    <w:qFormat/>
    <w:rsid w:val="00E42799"/>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1"/>
    <w:semiHidden/>
    <w:qFormat/>
    <w:rsid w:val="00E42799"/>
    <w:pPr>
      <w:keepNext/>
      <w:keepLines/>
      <w:numPr>
        <w:ilvl w:val="7"/>
        <w:numId w:val="23"/>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11"/>
    <w:semiHidden/>
    <w:qFormat/>
    <w:rsid w:val="00E42799"/>
    <w:pPr>
      <w:keepNext/>
      <w:keepLines/>
      <w:numPr>
        <w:ilvl w:val="8"/>
        <w:numId w:val="23"/>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exia Heading 1 Char"/>
    <w:basedOn w:val="DefaultParagraphFont"/>
    <w:link w:val="Heading1"/>
    <w:uiPriority w:val="9"/>
    <w:rsid w:val="00E42799"/>
    <w:rPr>
      <w:rFonts w:ascii="Tahoma" w:eastAsiaTheme="majorEastAsia" w:hAnsi="Tahoma" w:cs="Tahoma"/>
      <w:b/>
      <w:bCs/>
      <w:color w:val="00B2A9"/>
      <w:sz w:val="24"/>
      <w:szCs w:val="28"/>
    </w:rPr>
  </w:style>
  <w:style w:type="character" w:customStyle="1" w:styleId="Heading2Char">
    <w:name w:val="Heading 2 Char"/>
    <w:aliases w:val="Nexia Heading 2 Char"/>
    <w:basedOn w:val="DefaultParagraphFont"/>
    <w:link w:val="Heading2"/>
    <w:uiPriority w:val="9"/>
    <w:rsid w:val="00686CF0"/>
    <w:rPr>
      <w:rFonts w:asciiTheme="majorHAnsi" w:hAnsiTheme="majorHAnsi" w:cstheme="majorHAnsi"/>
      <w:b/>
      <w:color w:val="575756"/>
      <w:sz w:val="22"/>
      <w:szCs w:val="22"/>
    </w:rPr>
  </w:style>
  <w:style w:type="character" w:customStyle="1" w:styleId="Heading3Char">
    <w:name w:val="Heading 3 Char"/>
    <w:aliases w:val="Nexia Heading 3 Char"/>
    <w:basedOn w:val="DefaultParagraphFont"/>
    <w:link w:val="Heading3"/>
    <w:uiPriority w:val="9"/>
    <w:rsid w:val="009A3C1E"/>
    <w:rPr>
      <w:rFonts w:asciiTheme="majorHAnsi" w:hAnsiTheme="majorHAnsi" w:cstheme="majorHAnsi"/>
      <w:b/>
      <w:color w:val="0D5257"/>
      <w:sz w:val="23"/>
    </w:rPr>
  </w:style>
  <w:style w:type="paragraph" w:styleId="NoSpacing">
    <w:name w:val="No Spacing"/>
    <w:aliases w:val="Nexia Paragraph - No Spacing"/>
    <w:basedOn w:val="Normal"/>
    <w:uiPriority w:val="1"/>
    <w:qFormat/>
    <w:rsid w:val="009A3C1E"/>
  </w:style>
  <w:style w:type="character" w:styleId="Strong">
    <w:name w:val="Strong"/>
    <w:aliases w:val="Nexia Strong"/>
    <w:uiPriority w:val="8"/>
    <w:qFormat/>
    <w:rsid w:val="00975BD3"/>
    <w:rPr>
      <w:rFonts w:asciiTheme="minorHAnsi" w:hAnsiTheme="minorHAnsi"/>
      <w:b/>
      <w:sz w:val="20"/>
    </w:rPr>
  </w:style>
  <w:style w:type="character" w:styleId="Emphasis">
    <w:name w:val="Emphasis"/>
    <w:aliases w:val="Nexia Emphasis"/>
    <w:uiPriority w:val="9"/>
    <w:qFormat/>
    <w:rsid w:val="00975BD3"/>
    <w:rPr>
      <w:i/>
    </w:rPr>
  </w:style>
  <w:style w:type="character" w:styleId="IntenseEmphasis">
    <w:name w:val="Intense Emphasis"/>
    <w:aliases w:val="Nexia Intense Emphasis"/>
    <w:basedOn w:val="Emphasis"/>
    <w:uiPriority w:val="10"/>
    <w:qFormat/>
    <w:rsid w:val="00975BD3"/>
    <w:rPr>
      <w:b/>
      <w:i/>
    </w:rPr>
  </w:style>
  <w:style w:type="paragraph" w:styleId="ListParagraph">
    <w:name w:val="List Paragraph"/>
    <w:basedOn w:val="Normal"/>
    <w:uiPriority w:val="34"/>
    <w:semiHidden/>
    <w:rsid w:val="00975BD3"/>
    <w:pPr>
      <w:ind w:left="720"/>
      <w:contextualSpacing/>
    </w:pPr>
  </w:style>
  <w:style w:type="paragraph" w:customStyle="1" w:styleId="NexiaPrimaryBullets">
    <w:name w:val="Nexia Primary Bullets"/>
    <w:basedOn w:val="ListParagraph"/>
    <w:uiPriority w:val="5"/>
    <w:qFormat/>
    <w:rsid w:val="00AF2588"/>
    <w:pPr>
      <w:numPr>
        <w:numId w:val="14"/>
      </w:numPr>
      <w:spacing w:before="60" w:after="60"/>
      <w:contextualSpacing w:val="0"/>
    </w:pPr>
  </w:style>
  <w:style w:type="paragraph" w:customStyle="1" w:styleId="NexiaSecondaryBullets">
    <w:name w:val="Nexia Secondary Bullets"/>
    <w:basedOn w:val="Normal"/>
    <w:uiPriority w:val="6"/>
    <w:qFormat/>
    <w:rsid w:val="00AF2588"/>
    <w:pPr>
      <w:numPr>
        <w:ilvl w:val="1"/>
        <w:numId w:val="15"/>
      </w:numPr>
      <w:spacing w:before="60" w:after="60"/>
    </w:pPr>
  </w:style>
  <w:style w:type="paragraph" w:customStyle="1" w:styleId="NexiaPrimaryNumbers">
    <w:name w:val="Nexia Primary Numbers"/>
    <w:basedOn w:val="ListParagraph"/>
    <w:uiPriority w:val="7"/>
    <w:qFormat/>
    <w:rsid w:val="0051442C"/>
    <w:pPr>
      <w:numPr>
        <w:numId w:val="5"/>
      </w:numPr>
      <w:spacing w:before="60" w:after="60"/>
      <w:ind w:left="1078" w:hanging="369"/>
      <w:contextualSpacing w:val="0"/>
    </w:pPr>
  </w:style>
  <w:style w:type="paragraph" w:customStyle="1" w:styleId="NexiaSecondaryNumbers">
    <w:name w:val="Nexia Secondary Numbers"/>
    <w:basedOn w:val="NexiaPrimaryNumbers"/>
    <w:uiPriority w:val="7"/>
    <w:qFormat/>
    <w:rsid w:val="0051442C"/>
    <w:pPr>
      <w:numPr>
        <w:ilvl w:val="1"/>
      </w:numPr>
      <w:ind w:left="1434" w:hanging="357"/>
    </w:pPr>
  </w:style>
  <w:style w:type="paragraph" w:styleId="Header">
    <w:name w:val="header"/>
    <w:basedOn w:val="Normal"/>
    <w:link w:val="HeaderChar"/>
    <w:uiPriority w:val="99"/>
    <w:unhideWhenUsed/>
    <w:rsid w:val="00975BD3"/>
    <w:pPr>
      <w:tabs>
        <w:tab w:val="center" w:pos="4513"/>
        <w:tab w:val="right" w:pos="9026"/>
      </w:tabs>
      <w:spacing w:after="0"/>
    </w:pPr>
  </w:style>
  <w:style w:type="character" w:customStyle="1" w:styleId="HeaderChar">
    <w:name w:val="Header Char"/>
    <w:basedOn w:val="DefaultParagraphFont"/>
    <w:link w:val="Header"/>
    <w:uiPriority w:val="99"/>
    <w:rsid w:val="00F13649"/>
  </w:style>
  <w:style w:type="paragraph" w:styleId="Footer">
    <w:name w:val="footer"/>
    <w:basedOn w:val="Normal"/>
    <w:link w:val="FooterChar"/>
    <w:uiPriority w:val="99"/>
    <w:unhideWhenUsed/>
    <w:rsid w:val="00975BD3"/>
    <w:pPr>
      <w:tabs>
        <w:tab w:val="center" w:pos="4513"/>
        <w:tab w:val="right" w:pos="9026"/>
      </w:tabs>
      <w:spacing w:after="0"/>
    </w:pPr>
  </w:style>
  <w:style w:type="character" w:customStyle="1" w:styleId="FooterChar">
    <w:name w:val="Footer Char"/>
    <w:basedOn w:val="DefaultParagraphFont"/>
    <w:link w:val="Footer"/>
    <w:uiPriority w:val="99"/>
    <w:rsid w:val="0030677D"/>
  </w:style>
  <w:style w:type="paragraph" w:styleId="BalloonText">
    <w:name w:val="Balloon Text"/>
    <w:basedOn w:val="Normal"/>
    <w:link w:val="BalloonTextChar"/>
    <w:uiPriority w:val="99"/>
    <w:semiHidden/>
    <w:unhideWhenUsed/>
    <w:rsid w:val="00975BD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77D"/>
    <w:rPr>
      <w:rFonts w:ascii="Tahoma" w:hAnsi="Tahoma" w:cs="Tahoma"/>
      <w:sz w:val="16"/>
      <w:szCs w:val="16"/>
    </w:rPr>
  </w:style>
  <w:style w:type="table" w:styleId="TableGrid">
    <w:name w:val="Table Grid"/>
    <w:aliases w:val="Nexia Table"/>
    <w:basedOn w:val="TableNormal"/>
    <w:uiPriority w:val="59"/>
    <w:rsid w:val="00975BD3"/>
    <w:pPr>
      <w:spacing w:after="0"/>
    </w:pPr>
    <w:tblPr>
      <w:tblStyleRowBandSize w:val="1"/>
      <w:tblInd w:w="108" w:type="dxa"/>
    </w:tblPr>
    <w:tcPr>
      <w:shd w:val="clear" w:color="auto" w:fill="auto"/>
      <w:vAlign w:val="center"/>
    </w:tcPr>
    <w:tblStylePr w:type="firstRow">
      <w:rPr>
        <w:rFonts w:asciiTheme="minorHAnsi" w:hAnsiTheme="minorHAnsi"/>
        <w:b/>
        <w:color w:val="FFFFFF" w:themeColor="accent6"/>
      </w:rPr>
      <w:tblPr/>
      <w:tcPr>
        <w:shd w:val="clear" w:color="auto" w:fill="0D5257" w:themeFill="text2"/>
      </w:tcPr>
    </w:tblStylePr>
    <w:tblStylePr w:type="band1Horz">
      <w:rPr>
        <w:rFonts w:asciiTheme="minorHAnsi" w:hAnsiTheme="minorHAnsi"/>
        <w:color w:val="auto"/>
        <w:sz w:val="20"/>
      </w:rPr>
    </w:tblStylePr>
    <w:tblStylePr w:type="band2Horz">
      <w:rPr>
        <w:rFonts w:asciiTheme="minorHAnsi" w:hAnsiTheme="minorHAnsi"/>
        <w:color w:val="FFFFFF" w:themeColor="accent6"/>
        <w:sz w:val="20"/>
      </w:rPr>
      <w:tblPr/>
      <w:tcPr>
        <w:shd w:val="clear" w:color="auto" w:fill="00B2A9" w:themeFill="background2"/>
      </w:tcPr>
    </w:tblStylePr>
  </w:style>
  <w:style w:type="paragraph" w:customStyle="1" w:styleId="NexiaFooter">
    <w:name w:val="Nexia Footer"/>
    <w:basedOn w:val="NoSpacing"/>
    <w:uiPriority w:val="11"/>
    <w:qFormat/>
    <w:rsid w:val="00975BD3"/>
    <w:rPr>
      <w:sz w:val="14"/>
    </w:rPr>
  </w:style>
  <w:style w:type="paragraph" w:customStyle="1" w:styleId="NexiaHeaderFirstPage">
    <w:name w:val="Nexia Header First Page"/>
    <w:basedOn w:val="Normal"/>
    <w:uiPriority w:val="12"/>
    <w:rsid w:val="00975BD3"/>
    <w:pPr>
      <w:spacing w:after="480"/>
    </w:pPr>
    <w:rPr>
      <w:noProof/>
      <w:sz w:val="72"/>
      <w:lang w:eastAsia="en-AU"/>
    </w:rPr>
  </w:style>
  <w:style w:type="table" w:customStyle="1" w:styleId="NexiaLight">
    <w:name w:val="Nexia Light"/>
    <w:basedOn w:val="TableNormal"/>
    <w:uiPriority w:val="99"/>
    <w:qFormat/>
    <w:rsid w:val="00E800BA"/>
    <w:pPr>
      <w:spacing w:after="0"/>
    </w:pPr>
    <w:tblPr>
      <w:tblStyleRowBandSize w:val="1"/>
      <w:tblInd w:w="108" w:type="dxa"/>
    </w:tblPr>
    <w:tblStylePr w:type="firstRow">
      <w:rPr>
        <w:b/>
        <w:color w:val="FFFFFF" w:themeColor="accent6"/>
      </w:rPr>
      <w:tblPr/>
      <w:trPr>
        <w:tblHeader/>
      </w:trPr>
      <w:tcPr>
        <w:shd w:val="clear" w:color="auto" w:fill="0D5257" w:themeFill="text2"/>
      </w:tcPr>
    </w:tblStylePr>
    <w:tblStylePr w:type="band2Horz">
      <w:tblPr/>
      <w:tcPr>
        <w:shd w:val="clear" w:color="auto" w:fill="E6E6E6"/>
      </w:tcPr>
    </w:tblStylePr>
  </w:style>
  <w:style w:type="paragraph" w:customStyle="1" w:styleId="BodyText1">
    <w:name w:val="Body Text1"/>
    <w:aliases w:val="Nexia Body"/>
    <w:basedOn w:val="Normal"/>
    <w:qFormat/>
    <w:rsid w:val="00975BD3"/>
    <w:pPr>
      <w:spacing w:before="120" w:after="120"/>
    </w:pPr>
  </w:style>
  <w:style w:type="paragraph" w:customStyle="1" w:styleId="NexiaNumberedHeading1">
    <w:name w:val="Nexia Numbered Heading 1"/>
    <w:basedOn w:val="Heading1"/>
    <w:link w:val="NexiaNumberedHeading1Char"/>
    <w:qFormat/>
    <w:rsid w:val="001F6BB7"/>
    <w:pPr>
      <w:numPr>
        <w:numId w:val="19"/>
      </w:numPr>
    </w:pPr>
  </w:style>
  <w:style w:type="paragraph" w:customStyle="1" w:styleId="NexiaNumberedHeading2">
    <w:name w:val="Nexia Numbered Heading 2"/>
    <w:basedOn w:val="NexiaNumberedHeading1"/>
    <w:qFormat/>
    <w:rsid w:val="006F3F95"/>
    <w:pPr>
      <w:keepNext w:val="0"/>
      <w:keepLines w:val="0"/>
      <w:numPr>
        <w:numId w:val="36"/>
      </w:numPr>
      <w:spacing w:before="0" w:after="200"/>
    </w:pPr>
    <w:rPr>
      <w:rFonts w:asciiTheme="majorHAnsi" w:eastAsiaTheme="minorHAnsi" w:hAnsiTheme="majorHAnsi" w:cstheme="majorHAnsi"/>
      <w:bCs w:val="0"/>
      <w:color w:val="575756"/>
      <w:sz w:val="22"/>
      <w:szCs w:val="20"/>
    </w:rPr>
  </w:style>
  <w:style w:type="paragraph" w:customStyle="1" w:styleId="NexiaNumberedHeading3">
    <w:name w:val="Nexia Numbered Heading 3"/>
    <w:basedOn w:val="Heading3"/>
    <w:qFormat/>
    <w:rsid w:val="009202D4"/>
    <w:pPr>
      <w:numPr>
        <w:numId w:val="21"/>
      </w:numPr>
    </w:pPr>
    <w:rPr>
      <w:lang w:eastAsia="en-AU"/>
    </w:rPr>
  </w:style>
  <w:style w:type="paragraph" w:customStyle="1" w:styleId="NexiaNumberingControlDeficiencyHeadings">
    <w:name w:val="Nexia Numbering Control Deficiency Headings"/>
    <w:basedOn w:val="ListParagraph"/>
    <w:next w:val="Normal"/>
    <w:qFormat/>
    <w:rsid w:val="0041157A"/>
    <w:pPr>
      <w:numPr>
        <w:numId w:val="2"/>
      </w:numPr>
      <w:spacing w:before="120" w:after="120"/>
    </w:pPr>
    <w:rPr>
      <w:rFonts w:asciiTheme="majorHAnsi" w:eastAsia="Times New Roman" w:hAnsiTheme="majorHAnsi" w:cs="Arial"/>
      <w:b/>
      <w:color w:val="575756"/>
      <w:lang w:eastAsia="en-AU"/>
    </w:rPr>
  </w:style>
  <w:style w:type="paragraph" w:styleId="Title">
    <w:name w:val="Title"/>
    <w:aliases w:val="Nexia Title"/>
    <w:basedOn w:val="Normal"/>
    <w:next w:val="Normal"/>
    <w:link w:val="TitleChar"/>
    <w:uiPriority w:val="10"/>
    <w:qFormat/>
    <w:rsid w:val="0019781C"/>
    <w:pPr>
      <w:spacing w:before="200" w:after="60"/>
      <w:contextualSpacing/>
    </w:pPr>
    <w:rPr>
      <w:rFonts w:eastAsiaTheme="majorEastAsia" w:cstheme="majorBidi"/>
      <w:b/>
      <w:color w:val="000000" w:themeColor="text1"/>
      <w:spacing w:val="5"/>
      <w:kern w:val="28"/>
      <w:szCs w:val="52"/>
    </w:rPr>
  </w:style>
  <w:style w:type="character" w:customStyle="1" w:styleId="TitleChar">
    <w:name w:val="Title Char"/>
    <w:aliases w:val="Nexia Title Char"/>
    <w:basedOn w:val="DefaultParagraphFont"/>
    <w:link w:val="Title"/>
    <w:uiPriority w:val="10"/>
    <w:rsid w:val="0019781C"/>
    <w:rPr>
      <w:rFonts w:eastAsiaTheme="majorEastAsia" w:cstheme="majorBidi"/>
      <w:b/>
      <w:color w:val="000000" w:themeColor="text1"/>
      <w:spacing w:val="5"/>
      <w:kern w:val="28"/>
      <w:szCs w:val="52"/>
    </w:rPr>
  </w:style>
  <w:style w:type="paragraph" w:customStyle="1" w:styleId="NexiaNumberingRiskHeadings">
    <w:name w:val="Nexia Numbering Risk Headings"/>
    <w:basedOn w:val="ListParagraph"/>
    <w:next w:val="Normal"/>
    <w:qFormat/>
    <w:rsid w:val="0041157A"/>
    <w:pPr>
      <w:numPr>
        <w:numId w:val="6"/>
      </w:numPr>
      <w:spacing w:before="120" w:after="120"/>
    </w:pPr>
    <w:rPr>
      <w:rFonts w:asciiTheme="majorHAnsi" w:eastAsia="Times New Roman" w:hAnsiTheme="majorHAnsi" w:cstheme="majorHAnsi"/>
      <w:b/>
      <w:color w:val="575756"/>
      <w:lang w:eastAsia="en-AU"/>
    </w:rPr>
  </w:style>
  <w:style w:type="table" w:styleId="TableContemporary">
    <w:name w:val="Table Contemporary"/>
    <w:aliases w:val="Old Table,Table ContemporaryNEW"/>
    <w:basedOn w:val="TableNormal"/>
    <w:rsid w:val="00636279"/>
    <w:pPr>
      <w:spacing w:before="120" w:after="120"/>
    </w:pPr>
    <w:rPr>
      <w:rFonts w:ascii="Arial" w:eastAsia="Times New Roman" w:hAnsi="Arial" w:cs="Arial"/>
      <w:lang w:eastAsia="en-AU"/>
    </w:rPr>
    <w:tblPr>
      <w:tblStyleRowBandSize w:val="1"/>
      <w:tblInd w:w="113" w:type="dxa"/>
      <w:tblBorders>
        <w:insideH w:val="single" w:sz="18" w:space="0" w:color="FFFFFF"/>
        <w:insideV w:val="single" w:sz="18" w:space="0" w:color="FFFFFF"/>
      </w:tblBorders>
    </w:tblPr>
    <w:tblStylePr w:type="firstRow">
      <w:pPr>
        <w:wordWrap/>
        <w:spacing w:beforeLines="0" w:beforeAutospacing="0" w:afterLines="0" w:afterAutospacing="0"/>
      </w:pPr>
      <w:rPr>
        <w:rFonts w:ascii="Arial" w:hAnsi="Arial" w:cs="Arial"/>
        <w:b/>
        <w:bCs w:val="0"/>
        <w:i w:val="0"/>
        <w:iCs w:val="0"/>
        <w:color w:val="FFFFFF"/>
        <w:position w:val="0"/>
        <w:sz w:val="20"/>
        <w:szCs w:val="18"/>
        <w:u w:val="none"/>
      </w:rPr>
      <w:tblPr/>
      <w:tcPr>
        <w:tcBorders>
          <w:top w:val="nil"/>
          <w:left w:val="nil"/>
          <w:bottom w:val="nil"/>
          <w:right w:val="nil"/>
          <w:insideH w:val="nil"/>
          <w:insideV w:val="single" w:sz="4" w:space="0" w:color="575756" w:themeColor="background1"/>
          <w:tl2br w:val="nil"/>
          <w:tr2bl w:val="nil"/>
        </w:tcBorders>
        <w:shd w:val="clear" w:color="auto" w:fill="005DAA"/>
      </w:tcPr>
    </w:tblStylePr>
    <w:tblStylePr w:type="band1Horz">
      <w:pPr>
        <w:wordWrap/>
        <w:spacing w:afterLines="0"/>
      </w:pPr>
      <w:rPr>
        <w:rFonts w:ascii="Arial" w:hAnsi="Arial"/>
        <w:color w:val="auto"/>
        <w:position w:val="0"/>
        <w:sz w:val="20"/>
      </w:rPr>
      <w:tblPr/>
      <w:tcPr>
        <w:tcBorders>
          <w:top w:val="nil"/>
          <w:left w:val="nil"/>
          <w:bottom w:val="nil"/>
          <w:right w:val="nil"/>
          <w:insideH w:val="nil"/>
          <w:insideV w:val="single" w:sz="4" w:space="0" w:color="000000" w:themeColor="text1"/>
          <w:tl2br w:val="nil"/>
          <w:tr2bl w:val="nil"/>
        </w:tcBorders>
      </w:tcPr>
    </w:tblStylePr>
    <w:tblStylePr w:type="band2Horz">
      <w:pPr>
        <w:wordWrap/>
        <w:spacing w:beforeLines="0" w:beforeAutospacing="0" w:afterLines="0" w:afterAutospacing="0"/>
      </w:pPr>
      <w:rPr>
        <w:rFonts w:ascii="Arial" w:hAnsi="Arial"/>
        <w:color w:val="auto"/>
        <w:position w:val="0"/>
        <w:sz w:val="20"/>
      </w:rPr>
      <w:tblPr/>
      <w:tcPr>
        <w:tcBorders>
          <w:top w:val="nil"/>
          <w:left w:val="nil"/>
          <w:bottom w:val="nil"/>
          <w:right w:val="nil"/>
          <w:insideH w:val="nil"/>
          <w:insideV w:val="single" w:sz="4" w:space="0" w:color="auto"/>
          <w:tl2br w:val="nil"/>
          <w:tr2bl w:val="nil"/>
        </w:tcBorders>
        <w:shd w:val="clear" w:color="auto" w:fill="C2DAEC"/>
      </w:tcPr>
    </w:tblStylePr>
  </w:style>
  <w:style w:type="paragraph" w:styleId="BodyText">
    <w:name w:val="Body Text"/>
    <w:basedOn w:val="Normal"/>
    <w:link w:val="BodyTextChar"/>
    <w:uiPriority w:val="99"/>
    <w:rsid w:val="00636279"/>
    <w:pPr>
      <w:spacing w:before="120" w:after="120"/>
    </w:pPr>
    <w:rPr>
      <w:rFonts w:ascii="Arial" w:hAnsi="Arial"/>
      <w:sz w:val="18"/>
      <w:szCs w:val="22"/>
    </w:rPr>
  </w:style>
  <w:style w:type="character" w:customStyle="1" w:styleId="BodyTextChar">
    <w:name w:val="Body Text Char"/>
    <w:basedOn w:val="DefaultParagraphFont"/>
    <w:link w:val="BodyText"/>
    <w:uiPriority w:val="99"/>
    <w:rsid w:val="00636279"/>
    <w:rPr>
      <w:rFonts w:ascii="Arial" w:hAnsi="Arial"/>
      <w:sz w:val="18"/>
      <w:szCs w:val="22"/>
    </w:rPr>
  </w:style>
  <w:style w:type="paragraph" w:styleId="ListBullet">
    <w:name w:val="List Bullet"/>
    <w:basedOn w:val="BodyText"/>
    <w:rsid w:val="00636279"/>
    <w:pPr>
      <w:numPr>
        <w:numId w:val="7"/>
      </w:numPr>
      <w:spacing w:after="60"/>
    </w:pPr>
    <w:rPr>
      <w:rFonts w:eastAsia="Times New Roman" w:cs="Arial"/>
      <w:szCs w:val="20"/>
      <w:lang w:eastAsia="en-AU"/>
    </w:rPr>
  </w:style>
  <w:style w:type="paragraph" w:customStyle="1" w:styleId="TableBullet">
    <w:name w:val="Table Bullet"/>
    <w:basedOn w:val="Normal"/>
    <w:rsid w:val="00636279"/>
    <w:pPr>
      <w:numPr>
        <w:numId w:val="8"/>
      </w:numPr>
      <w:spacing w:after="0"/>
    </w:pPr>
    <w:rPr>
      <w:rFonts w:ascii="Arial" w:eastAsia="Times New Roman" w:hAnsi="Arial" w:cs="Arial"/>
      <w:sz w:val="16"/>
      <w:lang w:val="en-GB"/>
    </w:rPr>
  </w:style>
  <w:style w:type="paragraph" w:customStyle="1" w:styleId="Default">
    <w:name w:val="Default"/>
    <w:rsid w:val="00636279"/>
    <w:pPr>
      <w:autoSpaceDE w:val="0"/>
      <w:autoSpaceDN w:val="0"/>
      <w:adjustRightInd w:val="0"/>
      <w:spacing w:after="0"/>
    </w:pPr>
    <w:rPr>
      <w:rFonts w:ascii="Arial" w:hAnsi="Arial" w:cs="Arial"/>
      <w:color w:val="000000"/>
      <w:sz w:val="24"/>
      <w:szCs w:val="24"/>
    </w:rPr>
  </w:style>
  <w:style w:type="paragraph" w:customStyle="1" w:styleId="NexiaNarrowPrimaryBullets">
    <w:name w:val="Nexia Narrow Primary Bullets"/>
    <w:basedOn w:val="Default"/>
    <w:qFormat/>
    <w:rsid w:val="00AF2588"/>
    <w:pPr>
      <w:numPr>
        <w:numId w:val="16"/>
      </w:numPr>
      <w:spacing w:before="60" w:after="60"/>
    </w:pPr>
    <w:rPr>
      <w:rFonts w:ascii="Tahoma" w:hAnsi="Tahoma" w:cs="Tahoma"/>
      <w:sz w:val="20"/>
      <w:szCs w:val="20"/>
    </w:rPr>
  </w:style>
  <w:style w:type="paragraph" w:customStyle="1" w:styleId="NexiaNarrowSecondaryBullets">
    <w:name w:val="Nexia Narrow Secondary Bullets"/>
    <w:basedOn w:val="NexiaSecondaryBullets"/>
    <w:qFormat/>
    <w:rsid w:val="00AF2588"/>
    <w:pPr>
      <w:numPr>
        <w:ilvl w:val="0"/>
        <w:numId w:val="17"/>
      </w:numPr>
    </w:pPr>
  </w:style>
  <w:style w:type="character" w:customStyle="1" w:styleId="Heading5Char">
    <w:name w:val="Heading 5 Char"/>
    <w:basedOn w:val="DefaultParagraphFont"/>
    <w:link w:val="Heading5"/>
    <w:uiPriority w:val="11"/>
    <w:semiHidden/>
    <w:rsid w:val="00E42799"/>
    <w:rPr>
      <w:rFonts w:asciiTheme="majorHAnsi" w:eastAsiaTheme="majorEastAsia" w:hAnsiTheme="majorHAnsi" w:cstheme="majorBidi"/>
      <w:color w:val="0B4160" w:themeColor="accent1" w:themeShade="7F"/>
    </w:rPr>
  </w:style>
  <w:style w:type="character" w:customStyle="1" w:styleId="Heading6Char">
    <w:name w:val="Heading 6 Char"/>
    <w:basedOn w:val="DefaultParagraphFont"/>
    <w:link w:val="Heading6"/>
    <w:uiPriority w:val="11"/>
    <w:semiHidden/>
    <w:rsid w:val="00E42799"/>
    <w:rPr>
      <w:rFonts w:asciiTheme="majorHAnsi" w:eastAsiaTheme="majorEastAsia" w:hAnsiTheme="majorHAnsi" w:cstheme="majorBidi"/>
      <w:i/>
      <w:iCs/>
      <w:color w:val="0B4160" w:themeColor="accent1" w:themeShade="7F"/>
    </w:rPr>
  </w:style>
  <w:style w:type="character" w:customStyle="1" w:styleId="Heading7Char">
    <w:name w:val="Heading 7 Char"/>
    <w:basedOn w:val="DefaultParagraphFont"/>
    <w:link w:val="Heading7"/>
    <w:uiPriority w:val="11"/>
    <w:semiHidden/>
    <w:rsid w:val="00E4279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11"/>
    <w:semiHidden/>
    <w:rsid w:val="00E42799"/>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11"/>
    <w:semiHidden/>
    <w:rsid w:val="00E42799"/>
    <w:rPr>
      <w:rFonts w:asciiTheme="majorHAnsi" w:eastAsiaTheme="majorEastAsia" w:hAnsiTheme="majorHAnsi" w:cstheme="majorBidi"/>
      <w:i/>
      <w:iCs/>
      <w:color w:val="404040" w:themeColor="text1" w:themeTint="BF"/>
    </w:rPr>
  </w:style>
  <w:style w:type="paragraph" w:customStyle="1" w:styleId="NexiaNumberedHeading11">
    <w:name w:val="Nexia Numbered Heading 1.1"/>
    <w:basedOn w:val="Heading2"/>
    <w:link w:val="NexiaNumberedHeading11Char1"/>
    <w:qFormat/>
    <w:rsid w:val="001F6BB7"/>
    <w:pPr>
      <w:keepNext/>
      <w:keepLines/>
      <w:numPr>
        <w:ilvl w:val="1"/>
        <w:numId w:val="19"/>
      </w:numPr>
      <w:spacing w:before="200" w:after="60"/>
    </w:pPr>
    <w:rPr>
      <w:color w:val="00B2A9"/>
    </w:rPr>
  </w:style>
  <w:style w:type="character" w:customStyle="1" w:styleId="NexiaNumberedHeading1Char">
    <w:name w:val="Nexia Numbered Heading 1 Char"/>
    <w:basedOn w:val="Heading1Char"/>
    <w:link w:val="NexiaNumberedHeading1"/>
    <w:rsid w:val="001F6BB7"/>
    <w:rPr>
      <w:rFonts w:ascii="Tahoma" w:eastAsiaTheme="majorEastAsia" w:hAnsi="Tahoma" w:cs="Tahoma"/>
      <w:b/>
      <w:bCs/>
      <w:color w:val="00B2A9"/>
      <w:sz w:val="24"/>
      <w:szCs w:val="28"/>
    </w:rPr>
  </w:style>
  <w:style w:type="character" w:customStyle="1" w:styleId="NexiaNumberedHeading11Char">
    <w:name w:val="Nexia Numbered Heading 1.1 Char"/>
    <w:basedOn w:val="NexiaNumberedHeading1Char"/>
    <w:rsid w:val="009202D4"/>
    <w:rPr>
      <w:rFonts w:ascii="Tahoma" w:eastAsiaTheme="majorEastAsia" w:hAnsi="Tahoma" w:cs="Tahoma"/>
      <w:b/>
      <w:bCs/>
      <w:color w:val="00B2A9"/>
      <w:sz w:val="24"/>
      <w:szCs w:val="28"/>
    </w:rPr>
  </w:style>
  <w:style w:type="character" w:customStyle="1" w:styleId="NexiaNumberedHeading11Char1">
    <w:name w:val="Nexia Numbered Heading 1.1 Char1"/>
    <w:basedOn w:val="NexiaNumberedHeading1Char"/>
    <w:link w:val="NexiaNumberedHeading11"/>
    <w:rsid w:val="001F6BB7"/>
    <w:rPr>
      <w:rFonts w:asciiTheme="majorHAnsi" w:eastAsiaTheme="majorEastAsia" w:hAnsiTheme="majorHAnsi" w:cstheme="majorHAnsi"/>
      <w:b/>
      <w:bCs/>
      <w:color w:val="00B2A9"/>
      <w:sz w:val="22"/>
      <w:szCs w:val="28"/>
    </w:rPr>
  </w:style>
  <w:style w:type="table" w:customStyle="1" w:styleId="Style1">
    <w:name w:val="Style1"/>
    <w:basedOn w:val="TableNormal"/>
    <w:uiPriority w:val="99"/>
    <w:rsid w:val="00D10320"/>
    <w:pPr>
      <w:spacing w:after="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62222"/>
    <w:rPr>
      <w:color w:val="808080"/>
    </w:rPr>
  </w:style>
  <w:style w:type="paragraph" w:customStyle="1" w:styleId="TitlePage1">
    <w:name w:val="Title Page 1"/>
    <w:basedOn w:val="Heading1"/>
    <w:next w:val="Normal"/>
    <w:rsid w:val="002C705A"/>
    <w:pPr>
      <w:keepLines w:val="0"/>
      <w:spacing w:before="120" w:after="200"/>
      <w:jc w:val="right"/>
    </w:pPr>
    <w:rPr>
      <w:rFonts w:ascii="Arial" w:eastAsia="Times New Roman" w:hAnsi="Arial" w:cs="Times New Roman"/>
      <w:bCs w:val="0"/>
      <w:color w:val="auto"/>
      <w:sz w:val="56"/>
      <w:szCs w:val="20"/>
      <w:lang w:val="en-US"/>
    </w:rPr>
  </w:style>
  <w:style w:type="paragraph" w:customStyle="1" w:styleId="TitlePage2">
    <w:name w:val="Title Page 2"/>
    <w:basedOn w:val="Heading2"/>
    <w:next w:val="Normal"/>
    <w:rsid w:val="002C705A"/>
    <w:pPr>
      <w:keepNext/>
      <w:spacing w:before="120" w:after="120"/>
      <w:jc w:val="right"/>
    </w:pPr>
    <w:rPr>
      <w:rFonts w:ascii="Arial" w:eastAsia="Times New Roman" w:hAnsi="Arial" w:cs="Times New Roman"/>
      <w:color w:val="auto"/>
      <w:sz w:val="48"/>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Nexia Australia">
      <a:dk1>
        <a:sysClr val="windowText" lastClr="000000"/>
      </a:dk1>
      <a:lt1>
        <a:srgbClr val="575756"/>
      </a:lt1>
      <a:dk2>
        <a:srgbClr val="0D5257"/>
      </a:dk2>
      <a:lt2>
        <a:srgbClr val="00B2A9"/>
      </a:lt2>
      <a:accent1>
        <a:srgbClr val="1685C2"/>
      </a:accent1>
      <a:accent2>
        <a:srgbClr val="2C52A0"/>
      </a:accent2>
      <a:accent3>
        <a:srgbClr val="841262"/>
      </a:accent3>
      <a:accent4>
        <a:srgbClr val="CA1262"/>
      </a:accent4>
      <a:accent5>
        <a:srgbClr val="DED1C0"/>
      </a:accent5>
      <a:accent6>
        <a:srgbClr val="FFFFFF"/>
      </a:accent6>
      <a:hlink>
        <a:srgbClr val="00B2A9"/>
      </a:hlink>
      <a:folHlink>
        <a:srgbClr val="00B2A9"/>
      </a:folHlink>
    </a:clrScheme>
    <a:fontScheme name="Nexia Australi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153F3-A1C4-4560-B143-CEDB12ABA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prangasamy</dc:creator>
  <cp:lastModifiedBy>Nick Donlon</cp:lastModifiedBy>
  <cp:revision>5</cp:revision>
  <cp:lastPrinted>2017-07-02T23:56:00Z</cp:lastPrinted>
  <dcterms:created xsi:type="dcterms:W3CDTF">2021-02-25T02:41:00Z</dcterms:created>
  <dcterms:modified xsi:type="dcterms:W3CDTF">2021-06-23T05:49:00Z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Fuse Docs - Collation</vt:lpwstr>
  </property>
  <property fmtid="{D5CDD505-2E9C-101B-9397-08002B2CF9AE}" pid="4" name="tabIndex">
    <vt:lpwstr>A1</vt:lpwstr>
  </property>
  <property fmtid="{D5CDD505-2E9C-101B-9397-08002B2CF9AE}" pid="5" name="workpaperIndex">
    <vt:lpwstr>A1-F</vt:lpwstr>
  </property>
</Properties>
</file>