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04B" w:rsidRDefault="0049204B" w:rsidP="0049204B"/>
    <w:tbl>
      <w:tblPr>
        <w:tblpPr w:leftFromText="187" w:rightFromText="187" w:vertAnchor="page" w:horzAnchor="margin" w:tblpXSpec="center" w:tblpY="1726"/>
        <w:tblW w:w="4000" w:type="pct"/>
        <w:tblBorders>
          <w:left w:val="single" w:sz="18" w:space="0" w:color="4F81BD"/>
        </w:tblBorders>
        <w:tblLook w:val="04A0" w:firstRow="1" w:lastRow="0" w:firstColumn="1" w:lastColumn="0" w:noHBand="0" w:noVBand="1"/>
      </w:tblPr>
      <w:tblGrid>
        <w:gridCol w:w="7941"/>
      </w:tblGrid>
      <w:tr w:rsidR="0049204B" w:rsidTr="00C92D59">
        <w:tc>
          <w:tcPr>
            <w:tcW w:w="7441" w:type="dxa"/>
            <w:tcMar>
              <w:top w:w="216" w:type="dxa"/>
              <w:left w:w="115" w:type="dxa"/>
              <w:bottom w:w="216" w:type="dxa"/>
              <w:right w:w="115" w:type="dxa"/>
            </w:tcMar>
          </w:tcPr>
          <w:p w:rsidR="0049204B" w:rsidRDefault="0049204B" w:rsidP="00C92D59">
            <w:pPr>
              <w:pStyle w:val="NoSpacing"/>
              <w:rPr>
                <w:rFonts w:ascii="Cambria" w:hAnsi="Cambria" w:cs="Angsana New"/>
              </w:rPr>
            </w:pPr>
          </w:p>
        </w:tc>
      </w:tr>
      <w:tr w:rsidR="0049204B" w:rsidTr="00C92D59">
        <w:tc>
          <w:tcPr>
            <w:tcW w:w="7441" w:type="dxa"/>
          </w:tcPr>
          <w:p w:rsidR="0049204B" w:rsidRPr="008E480F" w:rsidRDefault="0049204B" w:rsidP="00C92D59">
            <w:pPr>
              <w:pStyle w:val="NoSpacing"/>
              <w:jc w:val="center"/>
              <w:rPr>
                <w:rFonts w:ascii="Arial" w:hAnsi="Arial" w:cs="Arial"/>
                <w:color w:val="4F81BD"/>
                <w:sz w:val="80"/>
                <w:szCs w:val="80"/>
              </w:rPr>
            </w:pPr>
            <w:r w:rsidRPr="00024ED6">
              <w:rPr>
                <w:rFonts w:ascii="Arial" w:hAnsi="Arial" w:cs="Arial"/>
                <w:sz w:val="80"/>
                <w:szCs w:val="80"/>
                <w:lang w:val="en-AU"/>
              </w:rPr>
              <w:t>Loan Agreement</w:t>
            </w:r>
          </w:p>
        </w:tc>
      </w:tr>
      <w:tr w:rsidR="0049204B" w:rsidTr="00C92D59">
        <w:tc>
          <w:tcPr>
            <w:tcW w:w="7441" w:type="dxa"/>
            <w:tcMar>
              <w:top w:w="216" w:type="dxa"/>
              <w:left w:w="115" w:type="dxa"/>
              <w:bottom w:w="216" w:type="dxa"/>
              <w:right w:w="115" w:type="dxa"/>
            </w:tcMar>
          </w:tcPr>
          <w:p w:rsidR="0049204B" w:rsidRPr="008E480F" w:rsidRDefault="0049204B" w:rsidP="00C92D59">
            <w:pPr>
              <w:tabs>
                <w:tab w:val="left" w:pos="4680"/>
              </w:tabs>
              <w:jc w:val="center"/>
              <w:rPr>
                <w:rFonts w:cs="Arial"/>
                <w:b/>
              </w:rPr>
            </w:pPr>
          </w:p>
          <w:p w:rsidR="0049204B" w:rsidRPr="008E480F" w:rsidRDefault="0049204B" w:rsidP="00C92D59">
            <w:pPr>
              <w:tabs>
                <w:tab w:val="left" w:pos="4680"/>
              </w:tabs>
              <w:jc w:val="center"/>
              <w:rPr>
                <w:rFonts w:cs="Arial"/>
                <w:b/>
              </w:rPr>
            </w:pPr>
          </w:p>
          <w:p w:rsidR="0049204B" w:rsidRPr="008E480F" w:rsidRDefault="0049204B" w:rsidP="00C92D59">
            <w:pPr>
              <w:tabs>
                <w:tab w:val="left" w:pos="4680"/>
              </w:tabs>
              <w:jc w:val="right"/>
              <w:rPr>
                <w:rFonts w:cs="Arial"/>
                <w:b/>
              </w:rPr>
            </w:pPr>
            <w:r w:rsidRPr="008E480F">
              <w:rPr>
                <w:rFonts w:cs="Arial"/>
                <w:b/>
              </w:rPr>
              <w:t>BETWEEN</w:t>
            </w:r>
          </w:p>
          <w:p w:rsidR="0049204B" w:rsidRPr="008E480F" w:rsidRDefault="0049204B" w:rsidP="00C92D59">
            <w:pPr>
              <w:tabs>
                <w:tab w:val="left" w:pos="4680"/>
              </w:tabs>
              <w:jc w:val="right"/>
              <w:rPr>
                <w:rFonts w:cs="Arial"/>
                <w:b/>
              </w:rPr>
            </w:pPr>
          </w:p>
          <w:p w:rsidR="0049204B" w:rsidRPr="008E480F" w:rsidRDefault="0049204B" w:rsidP="00C92D59">
            <w:pPr>
              <w:tabs>
                <w:tab w:val="left" w:pos="4680"/>
              </w:tabs>
              <w:jc w:val="right"/>
              <w:rPr>
                <w:rFonts w:cs="Arial"/>
                <w:b/>
              </w:rPr>
            </w:pPr>
          </w:p>
          <w:p w:rsidR="0049204B" w:rsidRPr="008E480F" w:rsidRDefault="0049204B" w:rsidP="00C92D59">
            <w:pPr>
              <w:tabs>
                <w:tab w:val="left" w:pos="4680"/>
              </w:tabs>
              <w:jc w:val="right"/>
              <w:rPr>
                <w:rFonts w:cs="Arial"/>
                <w:b/>
              </w:rPr>
            </w:pPr>
          </w:p>
          <w:p w:rsidR="0049204B" w:rsidRPr="000F05FC" w:rsidRDefault="0049204B" w:rsidP="00C92D59">
            <w:pPr>
              <w:tabs>
                <w:tab w:val="left" w:pos="4680"/>
              </w:tabs>
              <w:jc w:val="right"/>
              <w:rPr>
                <w:rFonts w:cs="Arial"/>
                <w:color w:val="1F497D" w:themeColor="text2"/>
              </w:rPr>
            </w:pPr>
            <w:r w:rsidRPr="001C6AF1">
              <w:rPr>
                <w:rFonts w:ascii="Times New Roman" w:hAnsi="Times New Roman"/>
                <w:b/>
                <w:bCs/>
              </w:rPr>
              <w:t>DIKRAN ARAKELIAN AND VIOLET ARAKELIAN</w:t>
            </w:r>
          </w:p>
          <w:p w:rsidR="0049204B" w:rsidRPr="008E480F" w:rsidRDefault="0049204B" w:rsidP="00C92D59">
            <w:pPr>
              <w:tabs>
                <w:tab w:val="left" w:pos="4680"/>
              </w:tabs>
              <w:jc w:val="right"/>
              <w:rPr>
                <w:rFonts w:cs="Arial"/>
              </w:rPr>
            </w:pPr>
          </w:p>
          <w:p w:rsidR="0049204B" w:rsidRPr="008E480F" w:rsidRDefault="0049204B" w:rsidP="00C92D59">
            <w:pPr>
              <w:tabs>
                <w:tab w:val="left" w:pos="4680"/>
              </w:tabs>
              <w:jc w:val="right"/>
              <w:rPr>
                <w:rFonts w:cs="Arial"/>
                <w:b/>
              </w:rPr>
            </w:pPr>
            <w:r w:rsidRPr="008E480F">
              <w:rPr>
                <w:rFonts w:cs="Arial"/>
                <w:b/>
              </w:rPr>
              <w:t>("Lender")</w:t>
            </w:r>
          </w:p>
          <w:p w:rsidR="0049204B" w:rsidRPr="008E480F" w:rsidRDefault="0049204B" w:rsidP="00C92D59">
            <w:pPr>
              <w:tabs>
                <w:tab w:val="left" w:pos="4680"/>
              </w:tabs>
              <w:jc w:val="right"/>
              <w:rPr>
                <w:rFonts w:cs="Arial"/>
                <w:b/>
              </w:rPr>
            </w:pPr>
          </w:p>
          <w:p w:rsidR="0049204B" w:rsidRPr="008E480F" w:rsidRDefault="0049204B" w:rsidP="00C92D59">
            <w:pPr>
              <w:tabs>
                <w:tab w:val="left" w:pos="4680"/>
              </w:tabs>
              <w:jc w:val="right"/>
              <w:rPr>
                <w:rFonts w:cs="Arial"/>
                <w:b/>
              </w:rPr>
            </w:pPr>
          </w:p>
          <w:p w:rsidR="0049204B" w:rsidRPr="008E480F" w:rsidRDefault="0049204B" w:rsidP="00C92D59">
            <w:pPr>
              <w:tabs>
                <w:tab w:val="left" w:pos="4680"/>
              </w:tabs>
              <w:jc w:val="right"/>
              <w:rPr>
                <w:rFonts w:cs="Arial"/>
                <w:b/>
              </w:rPr>
            </w:pPr>
            <w:smartTag w:uri="urn:schemas-microsoft-com:office:smarttags" w:element="stockticker">
              <w:r w:rsidRPr="008E480F">
                <w:rPr>
                  <w:rFonts w:cs="Arial"/>
                  <w:b/>
                </w:rPr>
                <w:t>AND</w:t>
              </w:r>
            </w:smartTag>
          </w:p>
          <w:p w:rsidR="0049204B" w:rsidRPr="008E480F" w:rsidRDefault="0049204B" w:rsidP="00C92D59">
            <w:pPr>
              <w:tabs>
                <w:tab w:val="left" w:pos="4680"/>
              </w:tabs>
              <w:jc w:val="right"/>
              <w:rPr>
                <w:rFonts w:cs="Arial"/>
                <w:b/>
              </w:rPr>
            </w:pPr>
          </w:p>
          <w:p w:rsidR="0049204B" w:rsidRDefault="0049204B" w:rsidP="00C92D59">
            <w:pPr>
              <w:tabs>
                <w:tab w:val="left" w:pos="4680"/>
              </w:tabs>
              <w:jc w:val="right"/>
              <w:rPr>
                <w:rFonts w:cs="Arial"/>
              </w:rPr>
            </w:pPr>
            <w:r w:rsidRPr="00620920">
              <w:rPr>
                <w:rFonts w:ascii="Times New Roman" w:hAnsi="Times New Roman"/>
                <w:b/>
                <w:bCs/>
              </w:rPr>
              <w:t>ARK ENGINEERING PTY LTD (ACN: 002 762 487) ATF A ZAYED SUPERANNUATION FUND</w:t>
            </w:r>
            <w:r w:rsidRPr="008E480F">
              <w:rPr>
                <w:rFonts w:cs="Arial"/>
              </w:rPr>
              <w:t xml:space="preserve"> </w:t>
            </w:r>
          </w:p>
          <w:p w:rsidR="0049204B" w:rsidRPr="008E480F" w:rsidRDefault="0049204B" w:rsidP="00C92D59">
            <w:pPr>
              <w:tabs>
                <w:tab w:val="left" w:pos="4680"/>
              </w:tabs>
              <w:jc w:val="right"/>
              <w:rPr>
                <w:rFonts w:cs="Arial"/>
              </w:rPr>
            </w:pPr>
          </w:p>
          <w:p w:rsidR="0049204B" w:rsidRPr="008E480F" w:rsidRDefault="0049204B" w:rsidP="00C92D59">
            <w:pPr>
              <w:tabs>
                <w:tab w:val="left" w:pos="4680"/>
              </w:tabs>
              <w:jc w:val="right"/>
              <w:rPr>
                <w:rFonts w:cs="Arial"/>
                <w:b/>
              </w:rPr>
            </w:pPr>
            <w:r w:rsidRPr="008E480F">
              <w:rPr>
                <w:rFonts w:cs="Arial"/>
                <w:b/>
              </w:rPr>
              <w:t>("Borrower")</w:t>
            </w:r>
          </w:p>
          <w:p w:rsidR="0049204B" w:rsidRPr="008E480F" w:rsidRDefault="0049204B" w:rsidP="00C92D59">
            <w:pPr>
              <w:tabs>
                <w:tab w:val="left" w:pos="4680"/>
              </w:tabs>
              <w:jc w:val="center"/>
              <w:rPr>
                <w:rFonts w:cs="Arial"/>
                <w:snapToGrid/>
              </w:rPr>
            </w:pPr>
          </w:p>
        </w:tc>
      </w:tr>
    </w:tbl>
    <w:p w:rsidR="0049204B" w:rsidRDefault="0049204B" w:rsidP="0049204B"/>
    <w:p w:rsidR="0049204B" w:rsidRDefault="0049204B" w:rsidP="0049204B"/>
    <w:p w:rsidR="0049204B" w:rsidRDefault="0049204B" w:rsidP="0049204B">
      <w:pPr>
        <w:spacing w:after="480"/>
        <w:rPr>
          <w:b/>
          <w:color w:val="000000"/>
          <w:sz w:val="36"/>
        </w:rPr>
      </w:pPr>
      <w:r>
        <w:rPr>
          <w:bCs/>
        </w:rPr>
        <w:br w:type="page"/>
      </w:r>
      <w:r>
        <w:rPr>
          <w:b/>
          <w:color w:val="000000"/>
          <w:sz w:val="36"/>
        </w:rPr>
        <w:lastRenderedPageBreak/>
        <w:t xml:space="preserve">Loan </w:t>
      </w:r>
      <w:bookmarkStart w:id="0" w:name="PAGEHERE"/>
      <w:bookmarkEnd w:id="0"/>
      <w:r>
        <w:rPr>
          <w:b/>
          <w:color w:val="000000"/>
          <w:sz w:val="36"/>
        </w:rPr>
        <w:t>Agreement</w:t>
      </w:r>
    </w:p>
    <w:tbl>
      <w:tblPr>
        <w:tblW w:w="0" w:type="auto"/>
        <w:tblInd w:w="-34" w:type="dxa"/>
        <w:tblBorders>
          <w:top w:val="single" w:sz="6" w:space="0" w:color="auto"/>
        </w:tblBorders>
        <w:tblLayout w:type="fixed"/>
        <w:tblCellMar>
          <w:left w:w="107" w:type="dxa"/>
          <w:right w:w="107" w:type="dxa"/>
        </w:tblCellMar>
        <w:tblLook w:val="0000" w:firstRow="0" w:lastRow="0" w:firstColumn="0" w:lastColumn="0" w:noHBand="0" w:noVBand="0"/>
      </w:tblPr>
      <w:tblGrid>
        <w:gridCol w:w="9242"/>
      </w:tblGrid>
      <w:tr w:rsidR="0049204B" w:rsidTr="00C92D59">
        <w:trPr>
          <w:cantSplit/>
        </w:trPr>
        <w:tc>
          <w:tcPr>
            <w:tcW w:w="9242" w:type="dxa"/>
          </w:tcPr>
          <w:p w:rsidR="0049204B" w:rsidRDefault="0049204B" w:rsidP="00C92D59">
            <w:pPr>
              <w:rPr>
                <w:b/>
                <w:color w:val="000000"/>
              </w:rPr>
            </w:pPr>
          </w:p>
        </w:tc>
      </w:tr>
    </w:tbl>
    <w:p w:rsidR="0049204B" w:rsidRDefault="0049204B" w:rsidP="0049204B">
      <w:pPr>
        <w:spacing w:before="120" w:after="240"/>
        <w:rPr>
          <w:b/>
          <w:color w:val="000000"/>
          <w:sz w:val="24"/>
        </w:rPr>
      </w:pPr>
      <w:r>
        <w:rPr>
          <w:b/>
          <w:color w:val="000000"/>
          <w:sz w:val="24"/>
        </w:rPr>
        <w:t>Parties</w:t>
      </w:r>
    </w:p>
    <w:p w:rsidR="0049204B" w:rsidRPr="004C7D03" w:rsidRDefault="0049204B" w:rsidP="0049204B">
      <w:pPr>
        <w:numPr>
          <w:ilvl w:val="0"/>
          <w:numId w:val="3"/>
        </w:numPr>
        <w:spacing w:before="120" w:after="240"/>
        <w:rPr>
          <w:color w:val="000000"/>
        </w:rPr>
      </w:pPr>
      <w:r w:rsidRPr="001C6AF1">
        <w:rPr>
          <w:rFonts w:ascii="Times New Roman" w:hAnsi="Times New Roman"/>
          <w:b/>
          <w:bCs/>
        </w:rPr>
        <w:t>DIKRAN ARAKELIAN AND VIOLET ARAKELIAN</w:t>
      </w:r>
      <w:r w:rsidRPr="004C7D03">
        <w:rPr>
          <w:color w:val="000000"/>
        </w:rPr>
        <w:t xml:space="preserve"> (</w:t>
      </w:r>
      <w:r w:rsidRPr="004C7D03">
        <w:rPr>
          <w:b/>
          <w:color w:val="000000"/>
        </w:rPr>
        <w:t>Lender</w:t>
      </w:r>
      <w:r w:rsidRPr="004C7D03">
        <w:rPr>
          <w:color w:val="000000"/>
        </w:rPr>
        <w:t>)</w:t>
      </w:r>
      <w:r>
        <w:rPr>
          <w:color w:val="000000"/>
        </w:rPr>
        <w:t>.</w:t>
      </w:r>
    </w:p>
    <w:p w:rsidR="0049204B" w:rsidRDefault="0049204B" w:rsidP="0049204B">
      <w:pPr>
        <w:numPr>
          <w:ilvl w:val="0"/>
          <w:numId w:val="3"/>
        </w:numPr>
        <w:spacing w:before="120" w:after="240"/>
      </w:pPr>
      <w:r w:rsidRPr="00620920">
        <w:rPr>
          <w:rFonts w:ascii="Times New Roman" w:hAnsi="Times New Roman"/>
          <w:b/>
          <w:bCs/>
        </w:rPr>
        <w:t>A ZAYED SUPERANNUATION FUND</w:t>
      </w:r>
      <w:r w:rsidRPr="008E480F">
        <w:rPr>
          <w:rFonts w:cs="Arial"/>
        </w:rPr>
        <w:t xml:space="preserve"> </w:t>
      </w:r>
      <w:r w:rsidR="000C2B01">
        <w:rPr>
          <w:rFonts w:ascii="Times New Roman" w:hAnsi="Times New Roman"/>
          <w:b/>
          <w:bCs/>
        </w:rPr>
        <w:t>(ABN:</w:t>
      </w:r>
      <w:r w:rsidR="000C2B01" w:rsidRPr="008D446F">
        <w:t xml:space="preserve"> </w:t>
      </w:r>
      <w:r w:rsidR="000C2B01" w:rsidRPr="008D446F">
        <w:rPr>
          <w:rFonts w:ascii="Times New Roman" w:hAnsi="Times New Roman"/>
          <w:b/>
          <w:bCs/>
        </w:rPr>
        <w:t>42814195678</w:t>
      </w:r>
      <w:r w:rsidR="000C2B01">
        <w:rPr>
          <w:rFonts w:ascii="Times New Roman" w:hAnsi="Times New Roman"/>
          <w:b/>
          <w:bCs/>
        </w:rPr>
        <w:t>)</w:t>
      </w:r>
      <w:r w:rsidR="000C2B01">
        <w:t xml:space="preserve"> </w:t>
      </w:r>
      <w:r>
        <w:t>(</w:t>
      </w:r>
      <w:r w:rsidRPr="000F05FC">
        <w:rPr>
          <w:b/>
        </w:rPr>
        <w:t>Borrower</w:t>
      </w:r>
      <w:r>
        <w:t>).</w:t>
      </w:r>
    </w:p>
    <w:p w:rsidR="0049204B" w:rsidRDefault="0049204B" w:rsidP="0049204B">
      <w:pPr>
        <w:spacing w:before="120" w:after="240"/>
        <w:rPr>
          <w:b/>
          <w:color w:val="000000"/>
          <w:sz w:val="24"/>
        </w:rPr>
      </w:pPr>
      <w:r>
        <w:rPr>
          <w:b/>
          <w:color w:val="000000"/>
          <w:sz w:val="24"/>
        </w:rPr>
        <w:t>Introduction</w:t>
      </w:r>
    </w:p>
    <w:p w:rsidR="0049204B" w:rsidRDefault="0049204B" w:rsidP="0049204B">
      <w:pPr>
        <w:numPr>
          <w:ilvl w:val="0"/>
          <w:numId w:val="4"/>
        </w:numPr>
        <w:spacing w:after="240"/>
        <w:jc w:val="both"/>
        <w:rPr>
          <w:color w:val="000000"/>
        </w:rPr>
      </w:pPr>
      <w:r>
        <w:rPr>
          <w:color w:val="000000"/>
        </w:rPr>
        <w:t xml:space="preserve">The Borrower has recently proposed to purchase a property at 8-10 Smoothy Place, Arndell Park, NSW 2148.  </w:t>
      </w:r>
    </w:p>
    <w:p w:rsidR="0049204B" w:rsidRDefault="0049204B" w:rsidP="0049204B">
      <w:pPr>
        <w:numPr>
          <w:ilvl w:val="0"/>
          <w:numId w:val="4"/>
        </w:numPr>
        <w:spacing w:after="240"/>
        <w:jc w:val="both"/>
        <w:rPr>
          <w:color w:val="000000"/>
        </w:rPr>
      </w:pPr>
      <w:r>
        <w:rPr>
          <w:color w:val="000000"/>
        </w:rPr>
        <w:t xml:space="preserve">The Borrower is proposing to undertake a capital-raising on or about </w:t>
      </w:r>
      <w:r w:rsidRPr="007D4627">
        <w:rPr>
          <w:b/>
          <w:color w:val="FF0000"/>
          <w:highlight w:val="yellow"/>
        </w:rPr>
        <w:t>01 July 2016</w:t>
      </w:r>
      <w:r>
        <w:rPr>
          <w:color w:val="000000"/>
        </w:rPr>
        <w:t xml:space="preserve"> in which the Lender and other investors may participate.  </w:t>
      </w:r>
    </w:p>
    <w:p w:rsidR="0049204B" w:rsidRDefault="0049204B" w:rsidP="0049204B">
      <w:pPr>
        <w:numPr>
          <w:ilvl w:val="0"/>
          <w:numId w:val="4"/>
        </w:numPr>
        <w:spacing w:after="240"/>
        <w:jc w:val="both"/>
        <w:rPr>
          <w:color w:val="000000"/>
        </w:rPr>
      </w:pPr>
      <w:r>
        <w:rPr>
          <w:color w:val="000000"/>
        </w:rPr>
        <w:t xml:space="preserve">The Borrower has requested a loan from the Lender for the purpose of securing a property. </w:t>
      </w:r>
    </w:p>
    <w:p w:rsidR="0049204B" w:rsidDel="00937995" w:rsidRDefault="0049204B" w:rsidP="0049204B">
      <w:pPr>
        <w:numPr>
          <w:ilvl w:val="0"/>
          <w:numId w:val="4"/>
        </w:numPr>
        <w:spacing w:after="240"/>
        <w:ind w:left="856" w:hanging="856"/>
        <w:jc w:val="both"/>
        <w:rPr>
          <w:color w:val="000000"/>
        </w:rPr>
      </w:pPr>
      <w:r>
        <w:rPr>
          <w:color w:val="000000"/>
        </w:rPr>
        <w:t xml:space="preserve">The Lender agrees to provide the Loan on the terms and conditions of this agreement.  </w:t>
      </w:r>
    </w:p>
    <w:p w:rsidR="0049204B" w:rsidRDefault="0049204B" w:rsidP="0049204B">
      <w:pPr>
        <w:spacing w:after="240"/>
        <w:jc w:val="both"/>
        <w:rPr>
          <w:b/>
          <w:color w:val="000000"/>
          <w:sz w:val="24"/>
        </w:rPr>
      </w:pPr>
      <w:r>
        <w:rPr>
          <w:b/>
          <w:color w:val="000000"/>
          <w:sz w:val="24"/>
        </w:rPr>
        <w:t>Operative clauses</w:t>
      </w:r>
    </w:p>
    <w:p w:rsidR="0049204B" w:rsidRPr="001B1C9B" w:rsidRDefault="0049204B" w:rsidP="0049204B">
      <w:pPr>
        <w:pStyle w:val="Heading1"/>
      </w:pPr>
      <w:bookmarkStart w:id="1" w:name="_Toc452951888"/>
      <w:bookmarkStart w:id="2" w:name="_Toc454781505"/>
      <w:bookmarkStart w:id="3" w:name="_Toc454783099"/>
      <w:bookmarkStart w:id="4" w:name="_Toc457375919"/>
      <w:bookmarkStart w:id="5" w:name="_Toc5610495"/>
      <w:bookmarkStart w:id="6" w:name="_Toc8631099"/>
      <w:bookmarkStart w:id="7" w:name="_Toc16309184"/>
      <w:bookmarkStart w:id="8" w:name="_Toc19435642"/>
      <w:r w:rsidRPr="001B1C9B">
        <w:t>Definitions</w:t>
      </w:r>
      <w:bookmarkEnd w:id="1"/>
      <w:bookmarkEnd w:id="2"/>
      <w:bookmarkEnd w:id="3"/>
      <w:bookmarkEnd w:id="4"/>
      <w:bookmarkEnd w:id="5"/>
      <w:r w:rsidRPr="001B1C9B">
        <w:t xml:space="preserve"> and Interpretation</w:t>
      </w:r>
      <w:bookmarkEnd w:id="6"/>
      <w:bookmarkEnd w:id="7"/>
      <w:bookmarkEnd w:id="8"/>
    </w:p>
    <w:p w:rsidR="0049204B" w:rsidRPr="001B1C9B" w:rsidRDefault="0049204B" w:rsidP="008D6303">
      <w:pPr>
        <w:pStyle w:val="Heading2"/>
      </w:pPr>
      <w:r w:rsidRPr="001B1C9B">
        <w:t>In this agreement:</w:t>
      </w:r>
    </w:p>
    <w:p w:rsidR="0049204B" w:rsidRPr="001B1C9B" w:rsidRDefault="0049204B" w:rsidP="0049204B">
      <w:pPr>
        <w:pStyle w:val="StyleIndent2Left15cm"/>
      </w:pPr>
      <w:r w:rsidRPr="001B1C9B">
        <w:rPr>
          <w:b/>
        </w:rPr>
        <w:t>Business Day</w:t>
      </w:r>
      <w:r w:rsidRPr="001B1C9B">
        <w:t xml:space="preserve"> means any day except a Saturday or a Sunday or other public holiday in NSW;</w:t>
      </w:r>
    </w:p>
    <w:p w:rsidR="0049204B" w:rsidRPr="001B1C9B" w:rsidRDefault="0049204B" w:rsidP="0049204B">
      <w:pPr>
        <w:pStyle w:val="StyleIndent2Left15cm"/>
        <w:rPr>
          <w:b/>
        </w:rPr>
      </w:pPr>
      <w:r w:rsidRPr="001B1C9B">
        <w:rPr>
          <w:b/>
        </w:rPr>
        <w:t xml:space="preserve">Corporations Act </w:t>
      </w:r>
      <w:r w:rsidRPr="001B1C9B">
        <w:t>means the Corporations Act 2001 (Cth);</w:t>
      </w:r>
    </w:p>
    <w:p w:rsidR="0049204B" w:rsidRPr="001B1C9B" w:rsidRDefault="0049204B" w:rsidP="0049204B">
      <w:pPr>
        <w:pStyle w:val="Heading3"/>
        <w:numPr>
          <w:ilvl w:val="0"/>
          <w:numId w:val="0"/>
        </w:numPr>
        <w:ind w:left="851"/>
        <w:rPr>
          <w:bCs/>
        </w:rPr>
      </w:pPr>
      <w:r w:rsidRPr="001B1C9B">
        <w:rPr>
          <w:b/>
        </w:rPr>
        <w:t xml:space="preserve">End Date </w:t>
      </w:r>
      <w:r w:rsidRPr="001B1C9B">
        <w:rPr>
          <w:bCs/>
        </w:rPr>
        <w:t xml:space="preserve">means a period of </w:t>
      </w:r>
      <w:r w:rsidR="001B1C9B" w:rsidRPr="001B1C9B">
        <w:rPr>
          <w:bCs/>
        </w:rPr>
        <w:t>15 years</w:t>
      </w:r>
      <w:r w:rsidRPr="001B1C9B">
        <w:rPr>
          <w:bCs/>
        </w:rPr>
        <w:t xml:space="preserve"> from the date of this agreement;</w:t>
      </w:r>
    </w:p>
    <w:p w:rsidR="0049204B" w:rsidRPr="001B1C9B" w:rsidRDefault="0049204B" w:rsidP="0049204B">
      <w:pPr>
        <w:pStyle w:val="StyleIndent2Left15cm"/>
        <w:rPr>
          <w:b/>
        </w:rPr>
      </w:pPr>
      <w:r w:rsidRPr="001B1C9B">
        <w:rPr>
          <w:b/>
        </w:rPr>
        <w:t xml:space="preserve">Event of Default </w:t>
      </w:r>
      <w:r w:rsidRPr="001B1C9B">
        <w:t xml:space="preserve">means the occurrence of an event of default referred to in clause </w:t>
      </w:r>
      <w:r w:rsidR="001B1C9B" w:rsidRPr="001B1C9B">
        <w:t>7</w:t>
      </w:r>
      <w:r w:rsidRPr="001B1C9B">
        <w:rPr>
          <w:b/>
        </w:rPr>
        <w:t>;</w:t>
      </w:r>
    </w:p>
    <w:p w:rsidR="0049204B" w:rsidRPr="00B73312" w:rsidRDefault="0049204B" w:rsidP="0049204B">
      <w:pPr>
        <w:pStyle w:val="StyleIndent2Left15cm"/>
      </w:pPr>
      <w:r w:rsidRPr="00B73312">
        <w:rPr>
          <w:b/>
        </w:rPr>
        <w:t xml:space="preserve">GST </w:t>
      </w:r>
      <w:r w:rsidRPr="00B73312">
        <w:t>has the meaning given in the A New Tax System (Goods and Services Tax) Act 1999 (Cth);</w:t>
      </w:r>
    </w:p>
    <w:p w:rsidR="0049204B" w:rsidRPr="00B73312" w:rsidRDefault="0049204B" w:rsidP="0049204B">
      <w:pPr>
        <w:pStyle w:val="Heading3"/>
        <w:numPr>
          <w:ilvl w:val="0"/>
          <w:numId w:val="0"/>
        </w:numPr>
        <w:ind w:left="851"/>
        <w:rPr>
          <w:bCs/>
        </w:rPr>
      </w:pPr>
      <w:r w:rsidRPr="00B73312">
        <w:rPr>
          <w:b/>
        </w:rPr>
        <w:t xml:space="preserve">Loan </w:t>
      </w:r>
      <w:r w:rsidRPr="00B73312">
        <w:rPr>
          <w:bCs/>
        </w:rPr>
        <w:t xml:space="preserve">means the principal amount lent by the Lender to the Borrower under this agreement and the amount of any accrued interest, or the balance of that amount outstanding from time to time, as referred to in clause </w:t>
      </w:r>
      <w:r w:rsidR="001E7029" w:rsidRPr="00B73312">
        <w:fldChar w:fldCharType="begin"/>
      </w:r>
      <w:r w:rsidR="001E7029" w:rsidRPr="00B73312">
        <w:instrText xml:space="preserve"> REF _Ref223150297 \r \h  \* MERGEFORMAT </w:instrText>
      </w:r>
      <w:r w:rsidR="001E7029" w:rsidRPr="00B73312">
        <w:fldChar w:fldCharType="separate"/>
      </w:r>
      <w:r w:rsidRPr="00B73312">
        <w:t>2</w:t>
      </w:r>
      <w:r w:rsidR="001E7029" w:rsidRPr="00B73312">
        <w:fldChar w:fldCharType="end"/>
      </w:r>
      <w:r w:rsidRPr="00B73312">
        <w:rPr>
          <w:bCs/>
        </w:rPr>
        <w:t xml:space="preserve">; </w:t>
      </w:r>
    </w:p>
    <w:p w:rsidR="0049204B" w:rsidRPr="00B73312" w:rsidRDefault="0049204B" w:rsidP="008D6303">
      <w:pPr>
        <w:pStyle w:val="Heading2"/>
      </w:pPr>
      <w:r w:rsidRPr="00B73312">
        <w:t>Interpretation</w:t>
      </w:r>
    </w:p>
    <w:p w:rsidR="0049204B" w:rsidRPr="00B73312" w:rsidRDefault="0049204B" w:rsidP="0049204B">
      <w:pPr>
        <w:pStyle w:val="Indent2"/>
        <w:ind w:left="851"/>
        <w:jc w:val="both"/>
      </w:pPr>
      <w:r w:rsidRPr="00B73312">
        <w:t>In this agreement, unless the context otherwise requires:</w:t>
      </w:r>
    </w:p>
    <w:p w:rsidR="0049204B" w:rsidRPr="00B73312" w:rsidRDefault="0049204B" w:rsidP="0049204B">
      <w:pPr>
        <w:pStyle w:val="Heading3"/>
        <w:tabs>
          <w:tab w:val="clear" w:pos="1417"/>
        </w:tabs>
      </w:pPr>
      <w:r w:rsidRPr="00B73312">
        <w:t>singular includes plural and plural includes singular;</w:t>
      </w:r>
    </w:p>
    <w:p w:rsidR="0049204B" w:rsidRPr="00B73312" w:rsidRDefault="0049204B" w:rsidP="0049204B">
      <w:pPr>
        <w:pStyle w:val="Heading3"/>
        <w:tabs>
          <w:tab w:val="clear" w:pos="1417"/>
        </w:tabs>
      </w:pPr>
      <w:r w:rsidRPr="00B73312">
        <w:t>words of one gender include any gender;</w:t>
      </w:r>
    </w:p>
    <w:p w:rsidR="0049204B" w:rsidRPr="00B73312" w:rsidRDefault="0049204B" w:rsidP="0049204B">
      <w:pPr>
        <w:pStyle w:val="Heading3"/>
        <w:tabs>
          <w:tab w:val="clear" w:pos="1417"/>
        </w:tabs>
      </w:pPr>
      <w:r w:rsidRPr="00B73312">
        <w:t>reference to legislation includes any amendment to it, any legislation substituted for it, and any subordinate legislation made under it;</w:t>
      </w:r>
    </w:p>
    <w:p w:rsidR="0049204B" w:rsidRPr="00B73312" w:rsidRDefault="0049204B" w:rsidP="0049204B">
      <w:pPr>
        <w:pStyle w:val="Heading3"/>
        <w:tabs>
          <w:tab w:val="clear" w:pos="1417"/>
        </w:tabs>
      </w:pPr>
      <w:r w:rsidRPr="00B73312">
        <w:t>reference to a person includes a corporation, firm and any other entity;</w:t>
      </w:r>
    </w:p>
    <w:p w:rsidR="0049204B" w:rsidRPr="00B73312" w:rsidRDefault="0049204B" w:rsidP="0049204B">
      <w:pPr>
        <w:pStyle w:val="Heading3"/>
        <w:tabs>
          <w:tab w:val="clear" w:pos="1417"/>
        </w:tabs>
      </w:pPr>
      <w:r w:rsidRPr="00B73312">
        <w:t>reference to a party includes that party's personal representatives, successors and permitted assigns;</w:t>
      </w:r>
    </w:p>
    <w:p w:rsidR="0049204B" w:rsidRPr="00B73312" w:rsidRDefault="0049204B" w:rsidP="0049204B">
      <w:pPr>
        <w:pStyle w:val="Heading3"/>
        <w:tabs>
          <w:tab w:val="clear" w:pos="1417"/>
        </w:tabs>
      </w:pPr>
      <w:r w:rsidRPr="00B73312">
        <w:t>headings do not affect interpretation;</w:t>
      </w:r>
    </w:p>
    <w:p w:rsidR="0049204B" w:rsidRPr="00B73312" w:rsidRDefault="0049204B" w:rsidP="0049204B">
      <w:pPr>
        <w:pStyle w:val="Heading3"/>
        <w:tabs>
          <w:tab w:val="clear" w:pos="1417"/>
        </w:tabs>
      </w:pPr>
      <w:r w:rsidRPr="00B73312">
        <w:lastRenderedPageBreak/>
        <w:t>a provision must be read down to the extent necessary to be valid. If it cannot be read down to that extent, it must be severed;</w:t>
      </w:r>
    </w:p>
    <w:p w:rsidR="0049204B" w:rsidRPr="00B73312" w:rsidRDefault="0049204B" w:rsidP="0049204B">
      <w:pPr>
        <w:pStyle w:val="Heading3"/>
        <w:tabs>
          <w:tab w:val="clear" w:pos="1417"/>
        </w:tabs>
      </w:pPr>
      <w:r w:rsidRPr="00B73312">
        <w:t>if a thing is to be done on a day which is not a Business Day, it must be done on the Business Day after that day;</w:t>
      </w:r>
    </w:p>
    <w:p w:rsidR="0049204B" w:rsidRPr="00B73312" w:rsidRDefault="0049204B" w:rsidP="0049204B">
      <w:pPr>
        <w:pStyle w:val="Heading3"/>
        <w:tabs>
          <w:tab w:val="clear" w:pos="1417"/>
        </w:tabs>
      </w:pPr>
      <w:r w:rsidRPr="00B73312">
        <w:t>another grammatical form of a defined expression has a corresponding meaning;</w:t>
      </w:r>
    </w:p>
    <w:p w:rsidR="0049204B" w:rsidRPr="00B73312" w:rsidRDefault="0049204B" w:rsidP="0049204B">
      <w:pPr>
        <w:pStyle w:val="Heading3"/>
        <w:tabs>
          <w:tab w:val="clear" w:pos="1417"/>
        </w:tabs>
      </w:pPr>
      <w:r w:rsidRPr="00B73312">
        <w:t>an expression defined in the Corporations Act 2001 has the meaning given by the Corporations Act 2001; and</w:t>
      </w:r>
    </w:p>
    <w:p w:rsidR="0049204B" w:rsidRPr="00B73312" w:rsidRDefault="0049204B" w:rsidP="00B73312">
      <w:pPr>
        <w:pStyle w:val="Heading3"/>
        <w:tabs>
          <w:tab w:val="clear" w:pos="1417"/>
        </w:tabs>
      </w:pPr>
      <w:r w:rsidRPr="00B73312">
        <w:t>no rule of construction applies to the disadvantage of a party because that party put forward this document or any portion of it.</w:t>
      </w:r>
      <w:bookmarkStart w:id="9" w:name="_Toc490450427"/>
      <w:bookmarkStart w:id="10" w:name="_Toc490559734"/>
    </w:p>
    <w:p w:rsidR="0049204B" w:rsidRDefault="0049204B" w:rsidP="0049204B">
      <w:pPr>
        <w:pStyle w:val="Heading1"/>
      </w:pPr>
      <w:bookmarkStart w:id="11" w:name="_Ref223150297"/>
      <w:bookmarkStart w:id="12" w:name="_Toc452951897"/>
      <w:bookmarkStart w:id="13" w:name="_Toc454781514"/>
      <w:bookmarkStart w:id="14" w:name="_Toc454783108"/>
      <w:bookmarkStart w:id="15" w:name="_Toc489938867"/>
      <w:bookmarkStart w:id="16" w:name="_Toc490559788"/>
      <w:bookmarkStart w:id="17" w:name="_Toc531325197"/>
      <w:bookmarkStart w:id="18" w:name="_Toc16309220"/>
      <w:bookmarkStart w:id="19" w:name="_Toc19435678"/>
      <w:bookmarkEnd w:id="9"/>
      <w:bookmarkEnd w:id="10"/>
      <w:r>
        <w:t>Loan</w:t>
      </w:r>
      <w:bookmarkEnd w:id="11"/>
    </w:p>
    <w:p w:rsidR="0049204B" w:rsidRDefault="0049204B" w:rsidP="008D6303">
      <w:pPr>
        <w:pStyle w:val="Heading2"/>
      </w:pPr>
      <w:r>
        <w:t xml:space="preserve">The Lender will lend to the Borrower the sum of </w:t>
      </w:r>
      <w:r w:rsidR="004D5937">
        <w:rPr>
          <w:color w:val="1F497D" w:themeColor="text2"/>
        </w:rPr>
        <w:t>$2,</w:t>
      </w:r>
      <w:r w:rsidR="007D4627">
        <w:rPr>
          <w:color w:val="1F497D" w:themeColor="text2"/>
        </w:rPr>
        <w:t>65</w:t>
      </w:r>
      <w:bookmarkStart w:id="20" w:name="_GoBack"/>
      <w:bookmarkEnd w:id="20"/>
      <w:r w:rsidR="004D5937">
        <w:rPr>
          <w:color w:val="1F497D" w:themeColor="text2"/>
        </w:rPr>
        <w:t>0,000.00</w:t>
      </w:r>
      <w:r w:rsidRPr="000F05FC">
        <w:rPr>
          <w:color w:val="1F497D" w:themeColor="text2"/>
        </w:rPr>
        <w:t xml:space="preserve"> </w:t>
      </w:r>
      <w:r>
        <w:t>on the terms of this agreement (</w:t>
      </w:r>
      <w:r w:rsidRPr="001559D8">
        <w:rPr>
          <w:b/>
        </w:rPr>
        <w:t>Loan</w:t>
      </w:r>
      <w:r>
        <w:t>).</w:t>
      </w:r>
    </w:p>
    <w:p w:rsidR="0049204B" w:rsidRDefault="0049204B" w:rsidP="0049204B">
      <w:pPr>
        <w:pStyle w:val="Heading1"/>
      </w:pPr>
      <w:r>
        <w:t>Purpose</w:t>
      </w:r>
    </w:p>
    <w:p w:rsidR="002D0020" w:rsidRDefault="0049204B" w:rsidP="008D6303">
      <w:pPr>
        <w:pStyle w:val="Heading2"/>
      </w:pPr>
      <w:r>
        <w:t>The Borrower may use the Loan for</w:t>
      </w:r>
      <w:r w:rsidR="004D5937">
        <w:t xml:space="preserve"> the purpose of purchasing the property at </w:t>
      </w:r>
      <w:r w:rsidR="004D5937" w:rsidRPr="002D0020">
        <w:rPr>
          <w:color w:val="000000"/>
        </w:rPr>
        <w:t>8-10 Smoothy Place, Arndell Park, NSW 2148</w:t>
      </w:r>
      <w:r w:rsidRPr="002D0020">
        <w:rPr>
          <w:color w:val="1F497D" w:themeColor="text2"/>
        </w:rPr>
        <w:t>.</w:t>
      </w:r>
    </w:p>
    <w:p w:rsidR="002D0020" w:rsidRDefault="002D0020" w:rsidP="002D0020">
      <w:pPr>
        <w:pStyle w:val="Heading1"/>
      </w:pPr>
      <w:r>
        <w:t xml:space="preserve">Period of loan </w:t>
      </w:r>
    </w:p>
    <w:p w:rsidR="00900ACC" w:rsidRDefault="002D0020" w:rsidP="008D6303">
      <w:pPr>
        <w:pStyle w:val="Heading2"/>
      </w:pPr>
      <w:r>
        <w:t>This loan shall endure for a period of 15 years from the date of disbursement of funds to the Borrower by the Lender.</w:t>
      </w:r>
    </w:p>
    <w:p w:rsidR="0049204B" w:rsidRDefault="0049204B" w:rsidP="0049204B">
      <w:pPr>
        <w:pStyle w:val="Heading1"/>
      </w:pPr>
      <w:bookmarkStart w:id="21" w:name="_Ref223153074"/>
      <w:r>
        <w:t>Interest</w:t>
      </w:r>
    </w:p>
    <w:p w:rsidR="0049204B" w:rsidRDefault="0049204B" w:rsidP="008D6303">
      <w:pPr>
        <w:pStyle w:val="Heading2"/>
      </w:pPr>
      <w:r>
        <w:t xml:space="preserve">The Borrower must pay to the Lender interest at the </w:t>
      </w:r>
      <w:r w:rsidR="00900ACC">
        <w:t>interest rate of 5% per annum</w:t>
      </w:r>
      <w:r>
        <w:t xml:space="preserve"> </w:t>
      </w:r>
      <w:r w:rsidR="002F1715">
        <w:t>on the Principal, fixed, for the first 5 years of the loan period</w:t>
      </w:r>
      <w:r>
        <w:t>.</w:t>
      </w:r>
      <w:r w:rsidR="002F1715">
        <w:t xml:space="preserve"> The borrower must pay the lender interest at the RBA variable rate for the remainder of the loan period.</w:t>
      </w:r>
    </w:p>
    <w:p w:rsidR="0049204B" w:rsidRDefault="0049204B" w:rsidP="008D6303">
      <w:pPr>
        <w:pStyle w:val="Heading2"/>
      </w:pPr>
      <w:r>
        <w:t xml:space="preserve">Interest accrues and capitalises from day to day, from the day </w:t>
      </w:r>
      <w:r w:rsidR="00900ACC">
        <w:t>it becomes due</w:t>
      </w:r>
      <w:r>
        <w:t xml:space="preserve"> </w:t>
      </w:r>
      <w:r w:rsidR="00900ACC">
        <w:t xml:space="preserve">until and including the day it </w:t>
      </w:r>
      <w:r>
        <w:t>is repaid.</w:t>
      </w:r>
    </w:p>
    <w:p w:rsidR="00900ACC" w:rsidRPr="002D0020" w:rsidRDefault="0049204B" w:rsidP="008D6303">
      <w:pPr>
        <w:pStyle w:val="Heading2"/>
      </w:pPr>
      <w:r>
        <w:t>The Borrower must pay the accrued interest at the same time as it repays the principal amount of the Loan.</w:t>
      </w:r>
      <w:r w:rsidR="00900ACC" w:rsidRPr="00900ACC">
        <w:t xml:space="preserve"> </w:t>
      </w:r>
    </w:p>
    <w:p w:rsidR="00900ACC" w:rsidRDefault="00900ACC" w:rsidP="00900ACC">
      <w:pPr>
        <w:pStyle w:val="Heading1"/>
      </w:pPr>
      <w:bookmarkStart w:id="22" w:name="_Ref223152231"/>
      <w:bookmarkStart w:id="23" w:name="_Ref223260607"/>
      <w:r>
        <w:t>Repayment of Loan</w:t>
      </w:r>
      <w:bookmarkEnd w:id="22"/>
      <w:bookmarkEnd w:id="23"/>
    </w:p>
    <w:p w:rsidR="002F1715" w:rsidRDefault="00900ACC" w:rsidP="008D6303">
      <w:pPr>
        <w:pStyle w:val="Heading2"/>
      </w:pPr>
      <w:r>
        <w:t>The</w:t>
      </w:r>
      <w:r w:rsidR="002F1715">
        <w:t xml:space="preserve"> Borrower shall repay</w:t>
      </w:r>
      <w:r w:rsidR="00813922">
        <w:t xml:space="preserve"> the Lender,</w:t>
      </w:r>
      <w:r w:rsidR="002F1715">
        <w:t xml:space="preserve"> the capital in equal monthly instalments of $14,222.22</w:t>
      </w:r>
      <w:r w:rsidR="00813922">
        <w:t>;</w:t>
      </w:r>
      <w:r w:rsidR="002F1715">
        <w:t xml:space="preserve"> to be paid on the last </w:t>
      </w:r>
      <w:r w:rsidR="00813922">
        <w:t xml:space="preserve">business </w:t>
      </w:r>
      <w:r w:rsidR="002F1715">
        <w:t>day of the month.</w:t>
      </w:r>
    </w:p>
    <w:p w:rsidR="00813922" w:rsidRDefault="00813922" w:rsidP="008D6303">
      <w:pPr>
        <w:pStyle w:val="Heading2"/>
      </w:pPr>
      <w:r>
        <w:t>The Borrower must pay to the Lender, monthly interest on the outstanding capital; also to be paid on the last business day of the month.</w:t>
      </w:r>
    </w:p>
    <w:p w:rsidR="00900ACC" w:rsidRDefault="00900ACC" w:rsidP="008D6303">
      <w:pPr>
        <w:pStyle w:val="Heading2"/>
      </w:pPr>
      <w:r>
        <w:t xml:space="preserve">The Borrower must repay to the Lender the Loan (including any accrued and unpaid interest) by the End Date. </w:t>
      </w:r>
    </w:p>
    <w:p w:rsidR="0049204B" w:rsidRDefault="00900ACC" w:rsidP="008D6303">
      <w:pPr>
        <w:pStyle w:val="Heading2"/>
      </w:pPr>
      <w:r>
        <w:t>Without penalty or notice, the Borrower may repay to the Lender any amount of the Loan (including any accrued but unpaid</w:t>
      </w:r>
    </w:p>
    <w:p w:rsidR="0049204B" w:rsidRDefault="0049204B" w:rsidP="0049204B">
      <w:pPr>
        <w:pStyle w:val="Heading1"/>
      </w:pPr>
      <w:r>
        <w:lastRenderedPageBreak/>
        <w:t>Event of Default</w:t>
      </w:r>
      <w:bookmarkEnd w:id="21"/>
    </w:p>
    <w:p w:rsidR="0049204B" w:rsidRDefault="0049204B" w:rsidP="008D6303">
      <w:pPr>
        <w:pStyle w:val="Heading2"/>
      </w:pPr>
      <w:r>
        <w:t>There is an Event of Default if:</w:t>
      </w:r>
    </w:p>
    <w:p w:rsidR="0049204B" w:rsidRDefault="0049204B" w:rsidP="0049204B">
      <w:pPr>
        <w:pStyle w:val="Heading3"/>
        <w:tabs>
          <w:tab w:val="clear" w:pos="1417"/>
        </w:tabs>
      </w:pPr>
      <w:r>
        <w:t xml:space="preserve">the Borrower fails to pay any moneys which become payable under this agreement, and such failure continues unremedied by the Borrower for a period of </w:t>
      </w:r>
      <w:r w:rsidR="00C92D59">
        <w:t>ten (1</w:t>
      </w:r>
      <w:r>
        <w:t>0</w:t>
      </w:r>
      <w:r w:rsidR="00C92D59">
        <w:t>)</w:t>
      </w:r>
      <w:r>
        <w:t xml:space="preserve"> Business Days after </w:t>
      </w:r>
      <w:r w:rsidR="00C92D59">
        <w:t>due date</w:t>
      </w:r>
      <w:r>
        <w:t>;</w:t>
      </w:r>
    </w:p>
    <w:p w:rsidR="0049204B" w:rsidRDefault="00C92D59" w:rsidP="0049204B">
      <w:pPr>
        <w:pStyle w:val="Heading3"/>
        <w:tabs>
          <w:tab w:val="clear" w:pos="1417"/>
        </w:tabs>
      </w:pPr>
      <w:r>
        <w:t>any undertakeing given to the Lender by or on behalf of the Borrower in relation to this agreement, or any othe matter is wholly performed within any time limit specified in such undertaking or if no time limit is specified, within twenty (20) Business days from the day of giving of the undertaking</w:t>
      </w:r>
      <w:r w:rsidR="0049204B">
        <w:t>;</w:t>
      </w:r>
    </w:p>
    <w:p w:rsidR="0049204B" w:rsidRDefault="0049204B" w:rsidP="0049204B">
      <w:pPr>
        <w:pStyle w:val="Heading1"/>
      </w:pPr>
      <w:bookmarkStart w:id="24" w:name="_Ref223260617"/>
      <w:r>
        <w:t>Effect of Event of Default</w:t>
      </w:r>
      <w:bookmarkEnd w:id="24"/>
    </w:p>
    <w:p w:rsidR="00C92D59" w:rsidRDefault="00C92D59" w:rsidP="008D6303">
      <w:pPr>
        <w:pStyle w:val="Heading2"/>
      </w:pPr>
      <w:r>
        <w:t>If the Borrower is unable to repay the Loan</w:t>
      </w:r>
      <w:r w:rsidRPr="00822CCD">
        <w:t xml:space="preserve"> </w:t>
      </w:r>
      <w:r>
        <w:t>when required in accordance with clauses 6, it must immediately notify the Lender in writing.</w:t>
      </w:r>
    </w:p>
    <w:p w:rsidR="00457A42" w:rsidRDefault="00457A42" w:rsidP="008D6303">
      <w:pPr>
        <w:pStyle w:val="Heading2"/>
      </w:pPr>
      <w:r>
        <w:t xml:space="preserve">Where in </w:t>
      </w:r>
      <w:r w:rsidR="008D6303">
        <w:t xml:space="preserve">the Borrower is in </w:t>
      </w:r>
      <w:r>
        <w:t>default under clause 7.1 and w</w:t>
      </w:r>
      <w:r w:rsidR="00C92D59">
        <w:t xml:space="preserve">ithin 10 Business Days of </w:t>
      </w:r>
      <w:r>
        <w:t xml:space="preserve">receiving </w:t>
      </w:r>
      <w:r w:rsidR="00C92D59">
        <w:t xml:space="preserve">such notice being provided by the Borrower to the Lender under clause </w:t>
      </w:r>
      <w:r>
        <w:t>8</w:t>
      </w:r>
      <w:r w:rsidR="00C92D59">
        <w:t xml:space="preserve">.1, the Lender may at its sole discretion elect by notice in writing to the Borrower to extend the date upon which the Loan must be repaid. </w:t>
      </w:r>
    </w:p>
    <w:p w:rsidR="0049204B" w:rsidRDefault="00457A42" w:rsidP="008D6303">
      <w:pPr>
        <w:pStyle w:val="Heading2"/>
      </w:pPr>
      <w:r>
        <w:t>I</w:t>
      </w:r>
      <w:r w:rsidR="0049204B">
        <w:t xml:space="preserve">f an Event </w:t>
      </w:r>
      <w:r w:rsidR="008D6303">
        <w:t xml:space="preserve">the Borrower is in default under clause 7.1 </w:t>
      </w:r>
      <w:r w:rsidR="0049204B">
        <w:t>and continues, the Lender may</w:t>
      </w:r>
      <w:r w:rsidR="008D6303">
        <w:t xml:space="preserve"> </w:t>
      </w:r>
      <w:r w:rsidR="0049204B">
        <w:t>by giving notice to the Borrower declare all of the Loan payable</w:t>
      </w:r>
      <w:r w:rsidR="008D6303">
        <w:t xml:space="preserve"> to the Lender (including any accrued and unpaid interest),</w:t>
      </w:r>
      <w:r w:rsidR="0049204B">
        <w:t xml:space="preserve"> be immediately due and payable; and</w:t>
      </w:r>
    </w:p>
    <w:p w:rsidR="0049204B" w:rsidRDefault="008D6303" w:rsidP="008D6303">
      <w:pPr>
        <w:pStyle w:val="Heading2"/>
      </w:pPr>
      <w:r>
        <w:t>Where the borrower fails to repay the Loan (including any accrued and unpaid interest) within 20 Business days</w:t>
      </w:r>
      <w:r w:rsidR="00845F10">
        <w:t xml:space="preserve"> of demand made under clause 8.3</w:t>
      </w:r>
      <w:r>
        <w:t xml:space="preserve">, </w:t>
      </w:r>
      <w:r w:rsidR="0049204B">
        <w:t xml:space="preserve">without further notice take action or proceedings </w:t>
      </w:r>
      <w:r w:rsidR="00845F10">
        <w:t xml:space="preserve">to exercise the security  by lodging the transfers held by the Lender pursuant to clause </w:t>
      </w:r>
      <w:r w:rsidR="00845F10" w:rsidRPr="00845F10">
        <w:rPr>
          <w:b/>
          <w:color w:val="FF0000"/>
        </w:rPr>
        <w:t>5</w:t>
      </w:r>
      <w:r w:rsidR="00845F10">
        <w:t xml:space="preserve"> to be registered owners of 8-10 Smoothy Place, Arndell, NSW 2148 </w:t>
      </w:r>
      <w:r w:rsidR="0049204B">
        <w:t>.</w:t>
      </w:r>
    </w:p>
    <w:p w:rsidR="00457A42" w:rsidRDefault="00457A42" w:rsidP="008D6303">
      <w:pPr>
        <w:pStyle w:val="Heading2"/>
      </w:pPr>
      <w:r>
        <w:t xml:space="preserve">Where the borrower fails to repay the Lender the Loan (including any accrued and unpaid interest), the Lender may ONLY </w:t>
      </w:r>
      <w:r w:rsidR="008D6303">
        <w:t>exercise</w:t>
      </w:r>
      <w:r>
        <w:t xml:space="preserve"> its right to become the owner of 8-10 Smoothy Place, Arndell, NSW 2148 and must NOT bring any other proceeding</w:t>
      </w:r>
      <w:r w:rsidR="008D6303">
        <w:t xml:space="preserve"> against the borrower to recover any parts of the Loan (including any accrued and unpaid interest).</w:t>
      </w:r>
    </w:p>
    <w:p w:rsidR="0049204B" w:rsidRDefault="0049204B" w:rsidP="0049204B">
      <w:pPr>
        <w:pStyle w:val="Heading1"/>
      </w:pPr>
      <w:r>
        <w:t>Representations, Warranties and Undertakings</w:t>
      </w:r>
    </w:p>
    <w:p w:rsidR="0049204B" w:rsidRDefault="0049204B" w:rsidP="008D6303">
      <w:pPr>
        <w:pStyle w:val="Heading2"/>
      </w:pPr>
      <w:r>
        <w:t>The Borrower represents and warrants to the Lender that:</w:t>
      </w:r>
    </w:p>
    <w:p w:rsidR="0049204B" w:rsidRDefault="0049204B" w:rsidP="0049204B">
      <w:pPr>
        <w:pStyle w:val="Heading3"/>
        <w:tabs>
          <w:tab w:val="clear" w:pos="1417"/>
        </w:tabs>
      </w:pPr>
      <w:r>
        <w:t>the Borrower is authorised and empowered to borrow the Loan under and in accordance with this agreement;</w:t>
      </w:r>
    </w:p>
    <w:p w:rsidR="0049204B" w:rsidRDefault="0049204B" w:rsidP="0049204B">
      <w:pPr>
        <w:pStyle w:val="Heading3"/>
        <w:tabs>
          <w:tab w:val="clear" w:pos="1417"/>
        </w:tabs>
      </w:pPr>
      <w:r>
        <w:t>the Borrower is authorised and empowered to enter into and perform this agreement and the other transactions contemplated by this agreement on the Borrower's part to be performed;</w:t>
      </w:r>
    </w:p>
    <w:p w:rsidR="0049204B" w:rsidRDefault="0049204B" w:rsidP="0049204B">
      <w:pPr>
        <w:pStyle w:val="Heading3"/>
        <w:tabs>
          <w:tab w:val="clear" w:pos="1417"/>
        </w:tabs>
      </w:pPr>
      <w:r>
        <w:t>the borrowing of the Loan and the entry into and performance of this agreement  and the other transactions contemplated by this agreement does not require the consent or approval of any other person and is not a breach of or default under any other agreement or arrangement to which the Borrower is a party;</w:t>
      </w:r>
    </w:p>
    <w:p w:rsidR="0049204B" w:rsidRDefault="0049204B" w:rsidP="0049204B">
      <w:pPr>
        <w:pStyle w:val="Heading3"/>
        <w:tabs>
          <w:tab w:val="clear" w:pos="1417"/>
        </w:tabs>
      </w:pPr>
      <w:r>
        <w:lastRenderedPageBreak/>
        <w:t>for so long as the Loan payable under this agreement has not been paid or repaid to the Lender or otherwise in accordance with this agreement in full, the Borrower undertakes to the Lender that it will not enter into other secured or unsecured debt or other financial arrangements without the prior written consent of the Lender, which consent:</w:t>
      </w:r>
    </w:p>
    <w:p w:rsidR="0049204B" w:rsidRDefault="0049204B" w:rsidP="0049204B">
      <w:pPr>
        <w:pStyle w:val="Heading4"/>
      </w:pPr>
      <w:r>
        <w:t>may be given or withheld at the discretion of the Lender; and</w:t>
      </w:r>
    </w:p>
    <w:p w:rsidR="0049204B" w:rsidRDefault="0049204B" w:rsidP="0049204B">
      <w:pPr>
        <w:pStyle w:val="Heading4"/>
      </w:pPr>
      <w:r>
        <w:t>may be given unconditionally or conditionally including as to the subordination or otherwise of payments and the ranking of any debt.</w:t>
      </w:r>
    </w:p>
    <w:p w:rsidR="0049204B" w:rsidRDefault="0049204B" w:rsidP="008D6303">
      <w:pPr>
        <w:pStyle w:val="Heading2"/>
      </w:pPr>
      <w:r>
        <w:t>The Borrower must at all times until the Loan payable under this agreement has been paid or repaid to the Lender in full, provide the Lender with:</w:t>
      </w:r>
    </w:p>
    <w:p w:rsidR="0049204B" w:rsidRDefault="0049204B" w:rsidP="0049204B">
      <w:pPr>
        <w:pStyle w:val="Heading3"/>
        <w:tabs>
          <w:tab w:val="clear" w:pos="1417"/>
        </w:tabs>
      </w:pPr>
      <w:r>
        <w:t>full and free access to the books and records of the Borrower;</w:t>
      </w:r>
    </w:p>
    <w:p w:rsidR="0049204B" w:rsidRDefault="0049204B" w:rsidP="0049204B">
      <w:pPr>
        <w:pStyle w:val="Heading3"/>
        <w:tabs>
          <w:tab w:val="clear" w:pos="1417"/>
        </w:tabs>
        <w:ind w:left="1702" w:hanging="851"/>
      </w:pPr>
      <w:r>
        <w:t>such information and explanations as the Lender may require, for or in any way in connection with:</w:t>
      </w:r>
    </w:p>
    <w:p w:rsidR="0049204B" w:rsidRDefault="0049204B" w:rsidP="0049204B">
      <w:pPr>
        <w:pStyle w:val="Heading4"/>
      </w:pPr>
      <w:r>
        <w:t>the Lender's rights, powers, authorities and discretions under this agreement; and</w:t>
      </w:r>
    </w:p>
    <w:p w:rsidR="0049204B" w:rsidRDefault="0049204B" w:rsidP="0049204B">
      <w:pPr>
        <w:pStyle w:val="Heading4"/>
      </w:pPr>
      <w:r>
        <w:t>the Borrower's obligations under this agreement or any transaction contemplated by it.</w:t>
      </w:r>
    </w:p>
    <w:p w:rsidR="0049204B" w:rsidRDefault="0049204B" w:rsidP="0049204B">
      <w:pPr>
        <w:pStyle w:val="Heading1"/>
      </w:pPr>
      <w:r>
        <w:t>Assignment</w:t>
      </w:r>
    </w:p>
    <w:p w:rsidR="0049204B" w:rsidRDefault="0049204B" w:rsidP="008D6303">
      <w:pPr>
        <w:pStyle w:val="Heading2"/>
      </w:pPr>
      <w:r>
        <w:t>A party may only assign its rights or obligations under this agreement with the written consent of the other party.</w:t>
      </w:r>
    </w:p>
    <w:p w:rsidR="0049204B" w:rsidRDefault="0049204B" w:rsidP="0049204B">
      <w:pPr>
        <w:pStyle w:val="Heading1"/>
      </w:pPr>
      <w:r>
        <w:t>Amendment</w:t>
      </w:r>
    </w:p>
    <w:p w:rsidR="0049204B" w:rsidRDefault="0049204B" w:rsidP="008D6303">
      <w:pPr>
        <w:pStyle w:val="Heading2"/>
      </w:pPr>
      <w:r>
        <w:t>This agreement may only be amended in writing signed by the parties.</w:t>
      </w:r>
    </w:p>
    <w:p w:rsidR="0049204B" w:rsidRDefault="0049204B" w:rsidP="0049204B">
      <w:pPr>
        <w:pStyle w:val="Heading1"/>
      </w:pPr>
      <w:r>
        <w:t>No waiver</w:t>
      </w:r>
    </w:p>
    <w:p w:rsidR="0049204B" w:rsidRDefault="0049204B" w:rsidP="008D6303">
      <w:pPr>
        <w:pStyle w:val="Heading2"/>
      </w:pPr>
      <w:r>
        <w:t>A party may only waive a breach of this agreement in writing signed by that party or its authorised representative.</w:t>
      </w:r>
    </w:p>
    <w:p w:rsidR="0049204B" w:rsidRDefault="0049204B" w:rsidP="008D6303">
      <w:pPr>
        <w:pStyle w:val="Heading2"/>
      </w:pPr>
      <w:r>
        <w:t>A waiver is limited to the instance referred to in the writing (or if no instance is referred to in the writing, to past breaches).</w:t>
      </w:r>
    </w:p>
    <w:p w:rsidR="0049204B" w:rsidRDefault="0049204B" w:rsidP="0049204B">
      <w:pPr>
        <w:pStyle w:val="Heading1"/>
      </w:pPr>
      <w:r>
        <w:t>Confidentiality</w:t>
      </w:r>
    </w:p>
    <w:p w:rsidR="0049204B" w:rsidRDefault="0049204B" w:rsidP="008D6303">
      <w:pPr>
        <w:pStyle w:val="Heading2"/>
      </w:pPr>
      <w:r>
        <w:t>A party may only disclose confidential information:</w:t>
      </w:r>
    </w:p>
    <w:p w:rsidR="0049204B" w:rsidRDefault="0049204B" w:rsidP="0049204B">
      <w:pPr>
        <w:pStyle w:val="Heading3"/>
        <w:widowControl w:val="0"/>
        <w:tabs>
          <w:tab w:val="clear" w:pos="1417"/>
        </w:tabs>
      </w:pPr>
      <w:r>
        <w:t>to that party’s professional advisers;</w:t>
      </w:r>
    </w:p>
    <w:p w:rsidR="0049204B" w:rsidRDefault="0049204B" w:rsidP="0049204B">
      <w:pPr>
        <w:pStyle w:val="Heading3"/>
        <w:widowControl w:val="0"/>
        <w:tabs>
          <w:tab w:val="clear" w:pos="1417"/>
        </w:tabs>
      </w:pPr>
      <w:r>
        <w:t>if required by law;</w:t>
      </w:r>
    </w:p>
    <w:p w:rsidR="0049204B" w:rsidRDefault="0049204B" w:rsidP="0049204B">
      <w:pPr>
        <w:pStyle w:val="Heading3"/>
        <w:widowControl w:val="0"/>
        <w:tabs>
          <w:tab w:val="clear" w:pos="1417"/>
        </w:tabs>
      </w:pPr>
      <w:r>
        <w:t>if necessary to perform that party’s obligations under this agreement; or</w:t>
      </w:r>
    </w:p>
    <w:p w:rsidR="0049204B" w:rsidRDefault="0049204B" w:rsidP="0049204B">
      <w:pPr>
        <w:pStyle w:val="Heading3"/>
        <w:widowControl w:val="0"/>
        <w:tabs>
          <w:tab w:val="clear" w:pos="1417"/>
        </w:tabs>
      </w:pPr>
      <w:r>
        <w:t>if the other party consents to the disclosure.</w:t>
      </w:r>
    </w:p>
    <w:p w:rsidR="0049204B" w:rsidRDefault="0049204B" w:rsidP="008D6303">
      <w:pPr>
        <w:pStyle w:val="Heading2"/>
      </w:pPr>
      <w:r>
        <w:t>In this clause, confidential information is:</w:t>
      </w:r>
    </w:p>
    <w:p w:rsidR="0049204B" w:rsidRDefault="0049204B" w:rsidP="0049204B">
      <w:pPr>
        <w:pStyle w:val="Heading3"/>
        <w:widowControl w:val="0"/>
        <w:tabs>
          <w:tab w:val="clear" w:pos="1417"/>
        </w:tabs>
      </w:pPr>
      <w:r>
        <w:t>any term of this agreement;</w:t>
      </w:r>
    </w:p>
    <w:p w:rsidR="0049204B" w:rsidRDefault="0049204B" w:rsidP="0049204B">
      <w:pPr>
        <w:pStyle w:val="Heading3"/>
        <w:widowControl w:val="0"/>
        <w:tabs>
          <w:tab w:val="clear" w:pos="1417"/>
        </w:tabs>
      </w:pPr>
      <w:r>
        <w:t xml:space="preserve">any information acquired by a party for the purpose of, or under the terms of, this </w:t>
      </w:r>
      <w:r>
        <w:lastRenderedPageBreak/>
        <w:t>agreement;</w:t>
      </w:r>
    </w:p>
    <w:p w:rsidR="0049204B" w:rsidRDefault="0049204B" w:rsidP="0049204B">
      <w:pPr>
        <w:pStyle w:val="Heading3"/>
        <w:widowControl w:val="0"/>
        <w:tabs>
          <w:tab w:val="clear" w:pos="1417"/>
        </w:tabs>
      </w:pPr>
      <w:r>
        <w:t>any other information belonging to a party which is of a confidential nature.</w:t>
      </w:r>
    </w:p>
    <w:p w:rsidR="0049204B" w:rsidRDefault="0049204B" w:rsidP="0049204B">
      <w:pPr>
        <w:pStyle w:val="Heading1"/>
      </w:pPr>
      <w:r>
        <w:t>Notice</w:t>
      </w:r>
      <w:bookmarkEnd w:id="12"/>
      <w:bookmarkEnd w:id="13"/>
      <w:bookmarkEnd w:id="14"/>
      <w:bookmarkEnd w:id="15"/>
      <w:bookmarkEnd w:id="16"/>
      <w:bookmarkEnd w:id="17"/>
      <w:bookmarkEnd w:id="18"/>
      <w:bookmarkEnd w:id="19"/>
    </w:p>
    <w:p w:rsidR="0049204B" w:rsidRDefault="0049204B" w:rsidP="008D6303">
      <w:pPr>
        <w:pStyle w:val="Heading2"/>
      </w:pPr>
      <w:r>
        <w:t>Any notice, consent or agreement given in connection with this agreement must be in writing and in English, and may be given by an authorised representative of the sender.</w:t>
      </w:r>
    </w:p>
    <w:p w:rsidR="0049204B" w:rsidRPr="00C302EE" w:rsidRDefault="0049204B" w:rsidP="008D6303">
      <w:pPr>
        <w:pStyle w:val="Heading2"/>
        <w:rPr>
          <w:lang w:val="en-NZ"/>
        </w:rPr>
      </w:pPr>
      <w:r w:rsidRPr="00C302EE">
        <w:rPr>
          <w:lang w:val="en-NZ"/>
        </w:rPr>
        <w:t>Notice is deemed to be received by a party:</w:t>
      </w:r>
    </w:p>
    <w:p w:rsidR="0049204B" w:rsidRPr="008A4237" w:rsidRDefault="0049204B" w:rsidP="0049204B">
      <w:pPr>
        <w:pStyle w:val="Heading3"/>
        <w:widowControl w:val="0"/>
        <w:tabs>
          <w:tab w:val="clear" w:pos="1417"/>
        </w:tabs>
      </w:pPr>
      <w:r w:rsidRPr="008A4237">
        <w:t xml:space="preserve">when left at that party's address; </w:t>
      </w:r>
    </w:p>
    <w:p w:rsidR="0049204B" w:rsidRPr="008A4237" w:rsidRDefault="0049204B" w:rsidP="0049204B">
      <w:pPr>
        <w:pStyle w:val="Heading3"/>
        <w:widowControl w:val="0"/>
        <w:tabs>
          <w:tab w:val="clear" w:pos="1417"/>
        </w:tabs>
      </w:pPr>
      <w:r w:rsidRPr="008A4237">
        <w:t>if sent by pre</w:t>
      </w:r>
      <w:r w:rsidRPr="008A4237">
        <w:noBreakHyphen/>
        <w:t>paid mail, three Business Days after posting or five Business Days in the case of a notice sent to or from a place outside Australia; and</w:t>
      </w:r>
    </w:p>
    <w:p w:rsidR="0049204B" w:rsidRPr="008A4237" w:rsidRDefault="0049204B" w:rsidP="0049204B">
      <w:pPr>
        <w:pStyle w:val="Heading3"/>
        <w:widowControl w:val="0"/>
        <w:tabs>
          <w:tab w:val="clear" w:pos="1417"/>
        </w:tabs>
      </w:pPr>
      <w:r w:rsidRPr="008A4237">
        <w:t>if sent by facsimile at the time and on the day shown in the sender's transmission report;</w:t>
      </w:r>
    </w:p>
    <w:p w:rsidR="0049204B" w:rsidRPr="00C302EE" w:rsidRDefault="0049204B" w:rsidP="0049204B">
      <w:pPr>
        <w:pStyle w:val="Heading3"/>
        <w:widowControl w:val="0"/>
        <w:tabs>
          <w:tab w:val="clear" w:pos="1417"/>
        </w:tabs>
        <w:rPr>
          <w:lang w:val="en-NZ"/>
        </w:rPr>
      </w:pPr>
      <w:r w:rsidRPr="008A4237">
        <w:t>if sent</w:t>
      </w:r>
      <w:r w:rsidRPr="00C302EE">
        <w:rPr>
          <w:lang w:val="en-NZ"/>
        </w:rPr>
        <w:t xml:space="preserve"> by email at the time and on the day shown in the sender's transmission report.</w:t>
      </w:r>
    </w:p>
    <w:p w:rsidR="0049204B" w:rsidRDefault="0049204B" w:rsidP="008D6303">
      <w:pPr>
        <w:pStyle w:val="Heading2"/>
      </w:pPr>
      <w:r>
        <w:t>At the date of this agreement, the last notified address is the address stated at the beginning of this agreement.</w:t>
      </w:r>
    </w:p>
    <w:p w:rsidR="0049204B" w:rsidRDefault="0049204B" w:rsidP="008D6303">
      <w:pPr>
        <w:pStyle w:val="Heading2"/>
      </w:pPr>
      <w:r>
        <w:t>A party may change its address or facsimile number for service by giving at least 1 Business Day's notice to the other party.</w:t>
      </w:r>
    </w:p>
    <w:p w:rsidR="0049204B" w:rsidRDefault="0049204B" w:rsidP="0049204B">
      <w:pPr>
        <w:pStyle w:val="Heading1"/>
      </w:pPr>
      <w:bookmarkStart w:id="25" w:name="_Toc452951899"/>
      <w:bookmarkStart w:id="26" w:name="_Toc454781516"/>
      <w:bookmarkStart w:id="27" w:name="_Toc454783110"/>
      <w:bookmarkStart w:id="28" w:name="_Toc489938868"/>
      <w:bookmarkStart w:id="29" w:name="_Toc490559789"/>
      <w:bookmarkStart w:id="30" w:name="_Toc531325198"/>
      <w:bookmarkStart w:id="31" w:name="_Toc16309221"/>
      <w:bookmarkStart w:id="32" w:name="_Toc19435679"/>
      <w:r>
        <w:t>Costs</w:t>
      </w:r>
      <w:bookmarkEnd w:id="25"/>
      <w:bookmarkEnd w:id="26"/>
      <w:bookmarkEnd w:id="27"/>
      <w:bookmarkEnd w:id="28"/>
      <w:bookmarkEnd w:id="29"/>
      <w:bookmarkEnd w:id="30"/>
      <w:bookmarkEnd w:id="31"/>
      <w:bookmarkEnd w:id="32"/>
    </w:p>
    <w:p w:rsidR="0049204B" w:rsidRDefault="0049204B" w:rsidP="008D6303">
      <w:pPr>
        <w:pStyle w:val="Heading2"/>
      </w:pPr>
      <w:r>
        <w:t>Each party must pay its own costs in respect of the costs of the negotiating, preparation and examination of this agreement and any document required by this agreement.</w:t>
      </w:r>
    </w:p>
    <w:p w:rsidR="0049204B" w:rsidRDefault="0049204B" w:rsidP="008D6303">
      <w:pPr>
        <w:pStyle w:val="Heading2"/>
      </w:pPr>
      <w:r>
        <w:t>The Borrower must in any event pay all stamp duty payable in connection with this agreement.</w:t>
      </w:r>
    </w:p>
    <w:p w:rsidR="0049204B" w:rsidRDefault="0049204B" w:rsidP="0049204B">
      <w:pPr>
        <w:pStyle w:val="Heading1"/>
      </w:pPr>
      <w:r>
        <w:t>GST</w:t>
      </w:r>
    </w:p>
    <w:p w:rsidR="0049204B" w:rsidRDefault="0049204B" w:rsidP="008D6303">
      <w:pPr>
        <w:pStyle w:val="Heading2"/>
      </w:pPr>
      <w:r>
        <w:t>Any moneys payable under this agreement have been calculated without regard to GST.  A party making a taxable supply under or in connection with this agreement is entitled to charge an additional amount on account of GST.</w:t>
      </w:r>
    </w:p>
    <w:p w:rsidR="0049204B" w:rsidRDefault="0049204B" w:rsidP="008D6303">
      <w:pPr>
        <w:pStyle w:val="Heading2"/>
      </w:pPr>
      <w:r>
        <w:t>Therefore, if GST is payable on a supply made by a party to this agreement (</w:t>
      </w:r>
      <w:r>
        <w:rPr>
          <w:b/>
        </w:rPr>
        <w:t>Supplier</w:t>
      </w:r>
      <w:r>
        <w:t>) under or in connection with this agreement, the party providing consideration for that supply (</w:t>
      </w:r>
      <w:r>
        <w:rPr>
          <w:b/>
        </w:rPr>
        <w:t>Recipient</w:t>
      </w:r>
      <w:r>
        <w:t>) must pay to the Supplier at the same time as the consideration is due to be provided under this agreement, an additional amount equal to the applicable rate of GST multiplied by the amount of consideration provided for that supply.</w:t>
      </w:r>
    </w:p>
    <w:p w:rsidR="0049204B" w:rsidRDefault="0049204B" w:rsidP="008D6303">
      <w:pPr>
        <w:pStyle w:val="Heading2"/>
      </w:pPr>
      <w:r>
        <w:t>The Supplier must, no later than the time at which any payment for a taxable supply is due, provide the Recipient with a tax invoice to enable the Recipient to claim a refund, input tax credit or other credit of GST payable in relation to acquisitions it makes under this agreement.</w:t>
      </w:r>
    </w:p>
    <w:p w:rsidR="0049204B" w:rsidRDefault="0049204B" w:rsidP="008D6303">
      <w:pPr>
        <w:pStyle w:val="Heading2"/>
      </w:pPr>
      <w:r>
        <w:t>If, for any reason, the GST payable by the Supplier in respect of a supply it makes under this agreement varies from the original amount it receives from the Recipient under clause 16.2 in respect of that supply, the Supplier will provide a refund or credit to the Recipient (as appropriate).  Where such an adjustment occurs, the Supplier will issue an adjustment notice to the Recipient in respect of that supply within 14 days after becoming aware of the relevant adjustment.</w:t>
      </w:r>
    </w:p>
    <w:p w:rsidR="0049204B" w:rsidRDefault="0049204B" w:rsidP="0049204B">
      <w:pPr>
        <w:pStyle w:val="Heading1"/>
      </w:pPr>
      <w:bookmarkStart w:id="33" w:name="_Toc452951898"/>
      <w:bookmarkStart w:id="34" w:name="_Toc454781515"/>
      <w:bookmarkStart w:id="35" w:name="_Toc454783109"/>
      <w:bookmarkStart w:id="36" w:name="_Toc489938869"/>
      <w:bookmarkStart w:id="37" w:name="_Toc490559790"/>
      <w:bookmarkStart w:id="38" w:name="_Toc531325199"/>
      <w:bookmarkStart w:id="39" w:name="_Toc16309222"/>
      <w:bookmarkStart w:id="40" w:name="_Toc19435680"/>
      <w:r>
        <w:lastRenderedPageBreak/>
        <w:t>Governing law</w:t>
      </w:r>
      <w:bookmarkEnd w:id="33"/>
      <w:bookmarkEnd w:id="34"/>
      <w:bookmarkEnd w:id="35"/>
      <w:bookmarkEnd w:id="36"/>
      <w:bookmarkEnd w:id="37"/>
      <w:bookmarkEnd w:id="38"/>
      <w:bookmarkEnd w:id="39"/>
      <w:bookmarkEnd w:id="40"/>
    </w:p>
    <w:p w:rsidR="0049204B" w:rsidRPr="004A4D35" w:rsidRDefault="0049204B" w:rsidP="0049204B">
      <w:pPr>
        <w:pStyle w:val="StyleIndent2Left15cm"/>
        <w:rPr>
          <w:lang w:val="en-US"/>
        </w:rPr>
      </w:pPr>
      <w:bookmarkStart w:id="41" w:name="_Toc452951896"/>
      <w:bookmarkStart w:id="42" w:name="_Toc454781513"/>
      <w:bookmarkStart w:id="43" w:name="_Toc454783107"/>
      <w:bookmarkStart w:id="44" w:name="_Toc489938870"/>
      <w:bookmarkStart w:id="45" w:name="_Toc490559791"/>
      <w:bookmarkStart w:id="46" w:name="_Toc531325200"/>
      <w:bookmarkStart w:id="47" w:name="_Toc16309223"/>
      <w:bookmarkStart w:id="48" w:name="_Toc19435681"/>
      <w:r w:rsidRPr="004A4D35">
        <w:rPr>
          <w:lang w:val="en-US"/>
        </w:rPr>
        <w:t xml:space="preserve">This agreement is governed by the law of the State of </w:t>
      </w:r>
      <w:smartTag w:uri="urn:schemas-microsoft-com:office:smarttags" w:element="State">
        <w:smartTag w:uri="urn:schemas-microsoft-com:office:smarttags" w:element="place">
          <w:r w:rsidRPr="004A4D35">
            <w:rPr>
              <w:lang w:val="en-US"/>
            </w:rPr>
            <w:t>New South Wales</w:t>
          </w:r>
        </w:smartTag>
      </w:smartTag>
      <w:r w:rsidRPr="004A4D35">
        <w:rPr>
          <w:lang w:val="en-US"/>
        </w:rPr>
        <w:t xml:space="preserve">.  The parties irrevocably and unconditionally submit to the non-exclusive jurisdiction of the courts of the State of </w:t>
      </w:r>
      <w:smartTag w:uri="urn:schemas-microsoft-com:office:smarttags" w:element="State">
        <w:smartTag w:uri="urn:schemas-microsoft-com:office:smarttags" w:element="place">
          <w:r w:rsidRPr="004A4D35">
            <w:rPr>
              <w:lang w:val="en-US"/>
            </w:rPr>
            <w:t>New South Wales</w:t>
          </w:r>
        </w:smartTag>
      </w:smartTag>
      <w:r w:rsidRPr="004A4D35">
        <w:rPr>
          <w:lang w:val="en-US"/>
        </w:rPr>
        <w:t xml:space="preserve"> and courts of appeal from them.</w:t>
      </w:r>
    </w:p>
    <w:p w:rsidR="0049204B" w:rsidRDefault="0049204B" w:rsidP="0049204B">
      <w:pPr>
        <w:pStyle w:val="Heading1"/>
      </w:pPr>
      <w:r>
        <w:t>Counterparts</w:t>
      </w:r>
      <w:bookmarkEnd w:id="41"/>
      <w:bookmarkEnd w:id="42"/>
      <w:bookmarkEnd w:id="43"/>
      <w:bookmarkEnd w:id="44"/>
      <w:bookmarkEnd w:id="45"/>
      <w:bookmarkEnd w:id="46"/>
      <w:bookmarkEnd w:id="47"/>
      <w:bookmarkEnd w:id="48"/>
    </w:p>
    <w:p w:rsidR="0049204B" w:rsidRDefault="0049204B" w:rsidP="0049204B">
      <w:pPr>
        <w:pStyle w:val="StyleIndent2Left15cm"/>
        <w:rPr>
          <w:lang w:val="en-US"/>
        </w:rPr>
      </w:pPr>
      <w:bookmarkStart w:id="49" w:name="_Toc5610496"/>
      <w:bookmarkStart w:id="50" w:name="_Toc8631100"/>
      <w:bookmarkStart w:id="51" w:name="_Toc8631101"/>
      <w:bookmarkStart w:id="52" w:name="_Toc16309224"/>
      <w:bookmarkEnd w:id="49"/>
      <w:bookmarkEnd w:id="50"/>
      <w:bookmarkEnd w:id="51"/>
      <w:bookmarkEnd w:id="52"/>
      <w:r w:rsidRPr="004A4D35">
        <w:rPr>
          <w:lang w:val="en-US"/>
        </w:rPr>
        <w:t>This agreement may be executed in any number of counterparts.  A counterpart may be a facsimile.  Together, all counterparts make up one document.  If this agreement is executed in counterparts, it takes effect when each party has received the counterpart executed by each other party or would be deemed to receive it, if it were a notice.</w:t>
      </w:r>
    </w:p>
    <w:p w:rsidR="0049204B" w:rsidRDefault="0049204B" w:rsidP="0049204B">
      <w:pPr>
        <w:pStyle w:val="Execution"/>
        <w:pageBreakBefore w:val="0"/>
        <w:widowControl w:val="0"/>
        <w:rPr>
          <w:color w:val="000000"/>
        </w:rPr>
      </w:pPr>
    </w:p>
    <w:p w:rsidR="0049204B" w:rsidRDefault="0049204B" w:rsidP="0049204B">
      <w:pPr>
        <w:pStyle w:val="Indent1"/>
        <w:widowControl w:val="0"/>
        <w:tabs>
          <w:tab w:val="right" w:pos="9072"/>
        </w:tabs>
        <w:spacing w:after="480"/>
        <w:rPr>
          <w:color w:val="1F497D" w:themeColor="text2"/>
        </w:rPr>
      </w:pPr>
      <w:r>
        <w:rPr>
          <w:b/>
          <w:color w:val="000000"/>
          <w:sz w:val="24"/>
        </w:rPr>
        <w:t>Executed</w:t>
      </w:r>
      <w:r>
        <w:rPr>
          <w:color w:val="000000"/>
        </w:rPr>
        <w:t xml:space="preserve"> as an agreement on </w:t>
      </w:r>
      <w:r w:rsidRPr="000F05FC">
        <w:rPr>
          <w:color w:val="1F497D" w:themeColor="text2"/>
        </w:rPr>
        <w:t>[insert date]</w:t>
      </w:r>
    </w:p>
    <w:p w:rsidR="006D3E9B" w:rsidRPr="001E7029" w:rsidRDefault="006D3E9B" w:rsidP="006D3E9B">
      <w:pPr>
        <w:pStyle w:val="Pa111"/>
        <w:spacing w:line="240" w:lineRule="auto"/>
        <w:rPr>
          <w:rStyle w:val="A41"/>
          <w:rFonts w:ascii="Arial" w:hAnsi="Arial" w:cs="Arial"/>
          <w:sz w:val="22"/>
          <w:szCs w:val="22"/>
        </w:rPr>
      </w:pPr>
      <w:r w:rsidRPr="001E7029">
        <w:rPr>
          <w:rStyle w:val="A41"/>
          <w:rFonts w:ascii="Arial" w:hAnsi="Arial" w:cs="Arial"/>
          <w:sz w:val="22"/>
          <w:szCs w:val="22"/>
        </w:rPr>
        <w:t>SIGNED BY THE LENDER:</w:t>
      </w:r>
    </w:p>
    <w:p w:rsidR="0049204B" w:rsidRDefault="0049204B" w:rsidP="0049204B">
      <w:pPr>
        <w:pStyle w:val="List"/>
        <w:rPr>
          <w:rFonts w:ascii="Arial" w:hAnsi="Arial"/>
          <w:color w:val="000000"/>
          <w:sz w:val="20"/>
        </w:rPr>
      </w:pPr>
    </w:p>
    <w:p w:rsidR="0049204B" w:rsidRDefault="0049204B" w:rsidP="0049204B">
      <w:pPr>
        <w:pStyle w:val="List"/>
        <w:rPr>
          <w:rFonts w:ascii="Arial" w:hAnsi="Arial"/>
          <w:color w:val="000000"/>
          <w:sz w:val="20"/>
        </w:rPr>
      </w:pPr>
    </w:p>
    <w:p w:rsidR="0049204B" w:rsidRDefault="0049204B" w:rsidP="0049204B">
      <w:pPr>
        <w:pStyle w:val="List"/>
        <w:rPr>
          <w:rFonts w:ascii="Arial" w:hAnsi="Arial"/>
          <w:b/>
          <w:color w:val="000000"/>
          <w:sz w:val="20"/>
        </w:rPr>
      </w:pPr>
    </w:p>
    <w:p w:rsidR="0049204B" w:rsidRDefault="0049204B" w:rsidP="0049204B">
      <w:pPr>
        <w:pStyle w:val="List"/>
        <w:rPr>
          <w:rFonts w:ascii="Arial" w:hAnsi="Arial"/>
          <w:b/>
          <w:color w:val="000000"/>
          <w:sz w:val="20"/>
        </w:rPr>
      </w:pPr>
    </w:p>
    <w:tbl>
      <w:tblPr>
        <w:tblW w:w="0" w:type="auto"/>
        <w:tblLayout w:type="fixed"/>
        <w:tblLook w:val="0000" w:firstRow="0" w:lastRow="0" w:firstColumn="0" w:lastColumn="0" w:noHBand="0" w:noVBand="0"/>
      </w:tblPr>
      <w:tblGrid>
        <w:gridCol w:w="4503"/>
        <w:gridCol w:w="4737"/>
      </w:tblGrid>
      <w:tr w:rsidR="0049204B" w:rsidTr="00C92D59">
        <w:trPr>
          <w:cantSplit/>
        </w:trPr>
        <w:tc>
          <w:tcPr>
            <w:tcW w:w="4503" w:type="dxa"/>
          </w:tcPr>
          <w:p w:rsidR="0049204B" w:rsidRDefault="0049204B" w:rsidP="00C92D59">
            <w:pPr>
              <w:widowControl w:val="0"/>
              <w:tabs>
                <w:tab w:val="left" w:pos="4680"/>
              </w:tabs>
              <w:rPr>
                <w:color w:val="000000"/>
              </w:rPr>
            </w:pPr>
            <w:r>
              <w:rPr>
                <w:color w:val="000000"/>
              </w:rPr>
              <w:t>…..............................................................</w:t>
            </w:r>
          </w:p>
          <w:p w:rsidR="00845F10" w:rsidRDefault="00845F10" w:rsidP="00C92D59">
            <w:pPr>
              <w:widowControl w:val="0"/>
              <w:tabs>
                <w:tab w:val="left" w:pos="4680"/>
              </w:tabs>
              <w:rPr>
                <w:color w:val="000000"/>
              </w:rPr>
            </w:pPr>
            <w:r>
              <w:rPr>
                <w:color w:val="000000"/>
              </w:rPr>
              <w:t xml:space="preserve">Dikran Arakelian </w:t>
            </w:r>
          </w:p>
          <w:p w:rsidR="0049204B" w:rsidRDefault="00845F10" w:rsidP="00C92D59">
            <w:pPr>
              <w:widowControl w:val="0"/>
              <w:tabs>
                <w:tab w:val="left" w:pos="4680"/>
              </w:tabs>
              <w:rPr>
                <w:color w:val="000000"/>
              </w:rPr>
            </w:pPr>
            <w:r>
              <w:rPr>
                <w:color w:val="000000"/>
              </w:rPr>
              <w:t>Lendor</w:t>
            </w:r>
          </w:p>
          <w:p w:rsidR="0049204B" w:rsidRDefault="0049204B" w:rsidP="00C92D59">
            <w:pPr>
              <w:widowControl w:val="0"/>
              <w:tabs>
                <w:tab w:val="left" w:pos="4680"/>
              </w:tabs>
              <w:rPr>
                <w:color w:val="000000"/>
              </w:rPr>
            </w:pPr>
          </w:p>
          <w:p w:rsidR="006D3E9B" w:rsidRDefault="006D3E9B" w:rsidP="00C92D59">
            <w:pPr>
              <w:widowControl w:val="0"/>
              <w:tabs>
                <w:tab w:val="left" w:pos="4680"/>
              </w:tabs>
              <w:rPr>
                <w:color w:val="000000"/>
              </w:rPr>
            </w:pPr>
          </w:p>
        </w:tc>
        <w:tc>
          <w:tcPr>
            <w:tcW w:w="4737" w:type="dxa"/>
          </w:tcPr>
          <w:p w:rsidR="0049204B" w:rsidRDefault="0049204B" w:rsidP="00C92D59">
            <w:pPr>
              <w:widowControl w:val="0"/>
              <w:tabs>
                <w:tab w:val="left" w:pos="4680"/>
              </w:tabs>
              <w:ind w:left="340"/>
              <w:rPr>
                <w:color w:val="000000"/>
              </w:rPr>
            </w:pPr>
            <w:r>
              <w:rPr>
                <w:color w:val="000000"/>
              </w:rPr>
              <w:t>….................................................................</w:t>
            </w:r>
          </w:p>
          <w:p w:rsidR="00845F10" w:rsidRDefault="00845F10" w:rsidP="00C92D59">
            <w:pPr>
              <w:widowControl w:val="0"/>
              <w:tabs>
                <w:tab w:val="left" w:pos="4680"/>
              </w:tabs>
              <w:ind w:left="340"/>
              <w:rPr>
                <w:color w:val="000000"/>
              </w:rPr>
            </w:pPr>
            <w:r>
              <w:rPr>
                <w:color w:val="000000"/>
              </w:rPr>
              <w:t>Violet Arakelian</w:t>
            </w:r>
          </w:p>
          <w:p w:rsidR="00845F10" w:rsidRDefault="00845F10" w:rsidP="00845F10">
            <w:pPr>
              <w:widowControl w:val="0"/>
              <w:tabs>
                <w:tab w:val="left" w:pos="4680"/>
              </w:tabs>
              <w:ind w:left="340"/>
              <w:rPr>
                <w:color w:val="000000"/>
              </w:rPr>
            </w:pPr>
            <w:r>
              <w:rPr>
                <w:color w:val="000000"/>
              </w:rPr>
              <w:t>Lendor</w:t>
            </w:r>
          </w:p>
          <w:p w:rsidR="0049204B" w:rsidRDefault="0049204B" w:rsidP="00C92D59">
            <w:pPr>
              <w:widowControl w:val="0"/>
              <w:tabs>
                <w:tab w:val="left" w:pos="4680"/>
              </w:tabs>
              <w:ind w:left="340"/>
              <w:rPr>
                <w:color w:val="000000"/>
              </w:rPr>
            </w:pPr>
          </w:p>
        </w:tc>
      </w:tr>
    </w:tbl>
    <w:p w:rsidR="006D3E9B" w:rsidRPr="001E7029" w:rsidRDefault="006D3E9B" w:rsidP="006D3E9B">
      <w:pPr>
        <w:pStyle w:val="Pa111"/>
        <w:spacing w:line="240" w:lineRule="auto"/>
        <w:rPr>
          <w:rStyle w:val="A41"/>
          <w:rFonts w:ascii="Arial" w:hAnsi="Arial" w:cs="Arial"/>
          <w:sz w:val="22"/>
          <w:szCs w:val="22"/>
        </w:rPr>
      </w:pPr>
      <w:r w:rsidRPr="001E7029">
        <w:rPr>
          <w:rStyle w:val="A41"/>
          <w:rFonts w:ascii="Arial" w:hAnsi="Arial" w:cs="Arial"/>
          <w:sz w:val="22"/>
          <w:szCs w:val="22"/>
        </w:rPr>
        <w:t>SIGNED BY THE BORROWER:</w:t>
      </w:r>
    </w:p>
    <w:p w:rsidR="006D3E9B" w:rsidRDefault="006D3E9B" w:rsidP="0049204B">
      <w:pPr>
        <w:pStyle w:val="List"/>
        <w:rPr>
          <w:rFonts w:ascii="Arial" w:hAnsi="Arial"/>
          <w:color w:val="000000"/>
          <w:sz w:val="20"/>
        </w:rPr>
      </w:pPr>
    </w:p>
    <w:p w:rsidR="0049204B" w:rsidRDefault="0049204B" w:rsidP="0049204B">
      <w:pPr>
        <w:pStyle w:val="List"/>
        <w:rPr>
          <w:rFonts w:ascii="Arial" w:hAnsi="Arial"/>
          <w:color w:val="000000"/>
          <w:sz w:val="20"/>
        </w:rPr>
      </w:pPr>
      <w:r>
        <w:rPr>
          <w:rFonts w:ascii="Arial" w:hAnsi="Arial"/>
          <w:color w:val="000000"/>
          <w:sz w:val="20"/>
        </w:rPr>
        <w:t>Signed for and on behalf of</w:t>
      </w:r>
    </w:p>
    <w:p w:rsidR="0049204B" w:rsidRPr="00482C91" w:rsidRDefault="00482C91" w:rsidP="0049204B">
      <w:pPr>
        <w:pStyle w:val="List"/>
        <w:rPr>
          <w:rFonts w:ascii="Arial" w:hAnsi="Arial"/>
          <w:b/>
          <w:sz w:val="20"/>
        </w:rPr>
      </w:pPr>
      <w:r w:rsidRPr="00482C91">
        <w:rPr>
          <w:rFonts w:ascii="Arial" w:hAnsi="Arial"/>
          <w:b/>
          <w:sz w:val="20"/>
        </w:rPr>
        <w:t>ARK ENGINEERING PTY LTD (ACN: 002 762 487) ATF A ZAYED SUPERANNUATION FUND</w:t>
      </w:r>
      <w:r w:rsidR="0049204B" w:rsidRPr="00482C91">
        <w:rPr>
          <w:rFonts w:ascii="Arial" w:hAnsi="Arial"/>
          <w:b/>
          <w:sz w:val="20"/>
        </w:rPr>
        <w:t>:</w:t>
      </w:r>
    </w:p>
    <w:p w:rsidR="0049204B" w:rsidRDefault="0049204B" w:rsidP="0049204B">
      <w:pPr>
        <w:pStyle w:val="List"/>
        <w:rPr>
          <w:rFonts w:ascii="Arial" w:hAnsi="Arial"/>
          <w:b/>
          <w:color w:val="000000"/>
          <w:sz w:val="20"/>
        </w:rPr>
      </w:pPr>
    </w:p>
    <w:p w:rsidR="0049204B" w:rsidRDefault="0049204B" w:rsidP="0049204B">
      <w:pPr>
        <w:pStyle w:val="List"/>
        <w:rPr>
          <w:rFonts w:ascii="Arial" w:hAnsi="Arial"/>
          <w:b/>
          <w:color w:val="000000"/>
          <w:sz w:val="20"/>
        </w:rPr>
      </w:pPr>
    </w:p>
    <w:p w:rsidR="00482C91" w:rsidRDefault="00482C91" w:rsidP="0049204B">
      <w:pPr>
        <w:pStyle w:val="List"/>
        <w:rPr>
          <w:rFonts w:ascii="Arial" w:hAnsi="Arial"/>
          <w:b/>
          <w:color w:val="000000"/>
          <w:sz w:val="20"/>
        </w:rPr>
      </w:pPr>
    </w:p>
    <w:p w:rsidR="00482C91" w:rsidRDefault="00482C91" w:rsidP="0049204B">
      <w:pPr>
        <w:pStyle w:val="List"/>
        <w:rPr>
          <w:rFonts w:ascii="Arial" w:hAnsi="Arial"/>
          <w:b/>
          <w:color w:val="000000"/>
          <w:sz w:val="20"/>
        </w:rPr>
      </w:pPr>
    </w:p>
    <w:p w:rsidR="00482C91" w:rsidRDefault="00482C91" w:rsidP="0049204B">
      <w:pPr>
        <w:pStyle w:val="List"/>
        <w:rPr>
          <w:rFonts w:ascii="Arial" w:hAnsi="Arial"/>
          <w:b/>
          <w:color w:val="000000"/>
          <w:sz w:val="20"/>
        </w:rPr>
      </w:pPr>
    </w:p>
    <w:p w:rsidR="00482C91" w:rsidRDefault="00482C91" w:rsidP="0049204B">
      <w:pPr>
        <w:pStyle w:val="List"/>
        <w:rPr>
          <w:rFonts w:ascii="Arial" w:hAnsi="Arial"/>
          <w:b/>
          <w:color w:val="000000"/>
          <w:sz w:val="20"/>
        </w:rPr>
      </w:pPr>
    </w:p>
    <w:tbl>
      <w:tblPr>
        <w:tblW w:w="0" w:type="auto"/>
        <w:tblLayout w:type="fixed"/>
        <w:tblLook w:val="0000" w:firstRow="0" w:lastRow="0" w:firstColumn="0" w:lastColumn="0" w:noHBand="0" w:noVBand="0"/>
      </w:tblPr>
      <w:tblGrid>
        <w:gridCol w:w="4503"/>
        <w:gridCol w:w="4737"/>
      </w:tblGrid>
      <w:tr w:rsidR="0049204B" w:rsidTr="00C92D59">
        <w:trPr>
          <w:cantSplit/>
        </w:trPr>
        <w:tc>
          <w:tcPr>
            <w:tcW w:w="4503" w:type="dxa"/>
          </w:tcPr>
          <w:p w:rsidR="0049204B" w:rsidRDefault="0049204B" w:rsidP="00C92D59">
            <w:pPr>
              <w:widowControl w:val="0"/>
              <w:tabs>
                <w:tab w:val="left" w:pos="4680"/>
              </w:tabs>
              <w:rPr>
                <w:color w:val="000000"/>
              </w:rPr>
            </w:pPr>
            <w:r>
              <w:rPr>
                <w:color w:val="000000"/>
              </w:rPr>
              <w:t>…..............................................................</w:t>
            </w:r>
          </w:p>
          <w:p w:rsidR="00482C91" w:rsidRDefault="00482C91" w:rsidP="00482C91">
            <w:pPr>
              <w:widowControl w:val="0"/>
              <w:tabs>
                <w:tab w:val="left" w:pos="4680"/>
              </w:tabs>
              <w:rPr>
                <w:color w:val="000000"/>
              </w:rPr>
            </w:pPr>
            <w:r>
              <w:rPr>
                <w:color w:val="000000"/>
              </w:rPr>
              <w:t xml:space="preserve">Dikran Arakelian </w:t>
            </w:r>
          </w:p>
          <w:p w:rsidR="0049204B" w:rsidRDefault="0049204B" w:rsidP="00B73312">
            <w:pPr>
              <w:widowControl w:val="0"/>
              <w:tabs>
                <w:tab w:val="left" w:pos="4680"/>
              </w:tabs>
              <w:rPr>
                <w:color w:val="000000"/>
              </w:rPr>
            </w:pPr>
            <w:r>
              <w:rPr>
                <w:color w:val="000000"/>
              </w:rPr>
              <w:t>Director</w:t>
            </w:r>
          </w:p>
        </w:tc>
        <w:tc>
          <w:tcPr>
            <w:tcW w:w="4737" w:type="dxa"/>
          </w:tcPr>
          <w:p w:rsidR="0049204B" w:rsidRDefault="0049204B" w:rsidP="00C92D59">
            <w:pPr>
              <w:widowControl w:val="0"/>
              <w:tabs>
                <w:tab w:val="left" w:pos="4680"/>
              </w:tabs>
              <w:ind w:left="340"/>
              <w:rPr>
                <w:color w:val="000000"/>
              </w:rPr>
            </w:pPr>
            <w:r>
              <w:rPr>
                <w:color w:val="000000"/>
              </w:rPr>
              <w:t>….................................................................</w:t>
            </w:r>
          </w:p>
          <w:p w:rsidR="00482C91" w:rsidRDefault="00482C91" w:rsidP="00C92D59">
            <w:pPr>
              <w:widowControl w:val="0"/>
              <w:tabs>
                <w:tab w:val="left" w:pos="4680"/>
              </w:tabs>
              <w:ind w:left="340"/>
              <w:rPr>
                <w:color w:val="000000"/>
              </w:rPr>
            </w:pPr>
            <w:r>
              <w:rPr>
                <w:color w:val="000000"/>
              </w:rPr>
              <w:t xml:space="preserve">Violet Arakelian </w:t>
            </w:r>
          </w:p>
          <w:p w:rsidR="0049204B" w:rsidRDefault="0049204B" w:rsidP="00B73312">
            <w:pPr>
              <w:widowControl w:val="0"/>
              <w:tabs>
                <w:tab w:val="left" w:pos="4680"/>
              </w:tabs>
              <w:ind w:left="340"/>
              <w:rPr>
                <w:color w:val="000000"/>
              </w:rPr>
            </w:pPr>
            <w:r>
              <w:rPr>
                <w:color w:val="000000"/>
              </w:rPr>
              <w:t>Director</w:t>
            </w:r>
          </w:p>
        </w:tc>
      </w:tr>
    </w:tbl>
    <w:p w:rsidR="003C26EA" w:rsidRDefault="003C26EA" w:rsidP="00B73312"/>
    <w:sectPr w:rsidR="003C26EA" w:rsidSect="00147274">
      <w:footerReference w:type="default" r:id="rId7"/>
      <w:footerReference w:type="first" r:id="rId8"/>
      <w:pgSz w:w="11907" w:h="16840" w:code="9"/>
      <w:pgMar w:top="1418" w:right="1077" w:bottom="1077" w:left="1134" w:header="283"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DE6" w:rsidRDefault="00951DE6" w:rsidP="006A2DB7">
      <w:r>
        <w:separator/>
      </w:r>
    </w:p>
  </w:endnote>
  <w:endnote w:type="continuationSeparator" w:id="0">
    <w:p w:rsidR="00951DE6" w:rsidRDefault="00951DE6" w:rsidP="006A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4827"/>
      <w:docPartObj>
        <w:docPartGallery w:val="Page Numbers (Bottom of Page)"/>
        <w:docPartUnique/>
      </w:docPartObj>
    </w:sdtPr>
    <w:sdtEndPr/>
    <w:sdtContent>
      <w:sdt>
        <w:sdtPr>
          <w:id w:val="565050523"/>
          <w:docPartObj>
            <w:docPartGallery w:val="Page Numbers (Top of Page)"/>
            <w:docPartUnique/>
          </w:docPartObj>
        </w:sdtPr>
        <w:sdtEndPr/>
        <w:sdtContent>
          <w:p w:rsidR="00C92D59" w:rsidRPr="000F05FC" w:rsidRDefault="00C92D59" w:rsidP="00C92D59">
            <w:pPr>
              <w:pStyle w:val="Footer"/>
              <w:rPr>
                <w:szCs w:val="16"/>
              </w:rPr>
            </w:pPr>
            <w:r>
              <w:tab/>
              <w:t xml:space="preserve">Page </w:t>
            </w:r>
            <w:r>
              <w:rPr>
                <w:b/>
                <w:sz w:val="24"/>
                <w:szCs w:val="24"/>
              </w:rPr>
              <w:fldChar w:fldCharType="begin"/>
            </w:r>
            <w:r>
              <w:rPr>
                <w:b/>
              </w:rPr>
              <w:instrText xml:space="preserve"> PAGE </w:instrText>
            </w:r>
            <w:r>
              <w:rPr>
                <w:b/>
                <w:sz w:val="24"/>
                <w:szCs w:val="24"/>
              </w:rPr>
              <w:fldChar w:fldCharType="separate"/>
            </w:r>
            <w:r w:rsidR="007D4627">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D4627">
              <w:rPr>
                <w:b/>
                <w:noProof/>
              </w:rPr>
              <w:t>7</w:t>
            </w:r>
            <w:r>
              <w:rPr>
                <w:b/>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D59" w:rsidRDefault="00C92D59" w:rsidP="00C92D59">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DE6" w:rsidRDefault="00951DE6" w:rsidP="006A2DB7">
      <w:r>
        <w:separator/>
      </w:r>
    </w:p>
  </w:footnote>
  <w:footnote w:type="continuationSeparator" w:id="0">
    <w:p w:rsidR="00951DE6" w:rsidRDefault="00951DE6" w:rsidP="006A2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9F7"/>
    <w:multiLevelType w:val="multilevel"/>
    <w:tmpl w:val="67744E58"/>
    <w:lvl w:ilvl="0">
      <w:start w:val="1"/>
      <w:numFmt w:val="decimal"/>
      <w:pStyle w:val="Heading1"/>
      <w:lvlText w:val="%1."/>
      <w:lvlJc w:val="left"/>
      <w:pPr>
        <w:tabs>
          <w:tab w:val="num" w:pos="709"/>
        </w:tabs>
        <w:ind w:left="709" w:hanging="709"/>
      </w:pPr>
      <w:rPr>
        <w:rFonts w:hint="default"/>
        <w:b/>
        <w:i w:val="0"/>
      </w:rPr>
    </w:lvl>
    <w:lvl w:ilvl="1">
      <w:start w:val="1"/>
      <w:numFmt w:val="decimal"/>
      <w:pStyle w:val="Heading2"/>
      <w:lvlText w:val="%1.%2"/>
      <w:lvlJc w:val="left"/>
      <w:pPr>
        <w:tabs>
          <w:tab w:val="num" w:pos="1985"/>
        </w:tabs>
        <w:ind w:left="1985" w:hanging="709"/>
      </w:pPr>
      <w:rPr>
        <w:rFonts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vertAlign w:val="baseline"/>
        <w:em w:val="none"/>
      </w:rPr>
    </w:lvl>
    <w:lvl w:ilvl="2">
      <w:start w:val="1"/>
      <w:numFmt w:val="lowerLetter"/>
      <w:pStyle w:val="Heading3"/>
      <w:lvlText w:val="(%3)"/>
      <w:lvlJc w:val="left"/>
      <w:pPr>
        <w:tabs>
          <w:tab w:val="num" w:pos="1417"/>
        </w:tabs>
        <w:ind w:left="1701" w:hanging="850"/>
      </w:pPr>
      <w:rPr>
        <w:rFonts w:hint="default"/>
        <w:b w:val="0"/>
        <w:i w:val="0"/>
      </w:rPr>
    </w:lvl>
    <w:lvl w:ilvl="3">
      <w:start w:val="1"/>
      <w:numFmt w:val="decimal"/>
      <w:pStyle w:val="Heading4"/>
      <w:lvlText w:val="(%4)"/>
      <w:lvlJc w:val="left"/>
      <w:pPr>
        <w:tabs>
          <w:tab w:val="num" w:pos="2126"/>
        </w:tabs>
        <w:ind w:left="2126" w:hanging="709"/>
      </w:pPr>
      <w:rPr>
        <w:rFonts w:hint="default"/>
        <w:b w:val="0"/>
        <w:i w:val="0"/>
      </w:rPr>
    </w:lvl>
    <w:lvl w:ilvl="4">
      <w:start w:val="1"/>
      <w:numFmt w:val="upperLetter"/>
      <w:pStyle w:val="Heading5"/>
      <w:lvlText w:val="(%5)"/>
      <w:lvlJc w:val="left"/>
      <w:pPr>
        <w:tabs>
          <w:tab w:val="num" w:pos="2835"/>
        </w:tabs>
        <w:ind w:left="2835" w:hanging="709"/>
      </w:pPr>
      <w:rPr>
        <w:rFonts w:hint="default"/>
        <w:b w:val="0"/>
        <w:i w:val="0"/>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4090208"/>
    <w:multiLevelType w:val="hybridMultilevel"/>
    <w:tmpl w:val="A46E9ADC"/>
    <w:lvl w:ilvl="0" w:tplc="8AE88DFC">
      <w:start w:val="1"/>
      <w:numFmt w:val="upperLetter"/>
      <w:lvlText w:val="%1."/>
      <w:lvlJc w:val="left"/>
      <w:pPr>
        <w:ind w:left="855"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D0D3C63"/>
    <w:multiLevelType w:val="multilevel"/>
    <w:tmpl w:val="4A1C925E"/>
    <w:lvl w:ilvl="0">
      <w:start w:val="1"/>
      <w:numFmt w:val="none"/>
      <w:pStyle w:val="Execution"/>
      <w:suff w:val="nothing"/>
      <w:lvlText w:val="Execution"/>
      <w:lvlJc w:val="left"/>
      <w:pPr>
        <w:ind w:left="0" w:firstLine="0"/>
      </w:pPr>
      <w:rPr>
        <w:b/>
        <w:i w:val="0"/>
      </w:rPr>
    </w:lvl>
    <w:lvl w:ilvl="1">
      <w:numFmt w:val="decimal"/>
      <w:suff w:val="nothing"/>
      <w:lvlText w:val="%1"/>
      <w:lvlJc w:val="left"/>
      <w:pPr>
        <w:ind w:left="-32767" w:firstLine="0"/>
      </w:pPr>
      <w:rPr>
        <w:b w:val="0"/>
        <w:i w:val="0"/>
      </w:rPr>
    </w:lvl>
    <w:lvl w:ilvl="2">
      <w:numFmt w:val="none"/>
      <w:suff w:val="nothing"/>
      <w:lvlText w:val=""/>
      <w:lvlJc w:val="left"/>
      <w:pPr>
        <w:ind w:left="-32767" w:firstLine="0"/>
      </w:pPr>
      <w:rPr>
        <w:b w:val="0"/>
        <w:i w:val="0"/>
      </w:rPr>
    </w:lvl>
    <w:lvl w:ilvl="3">
      <w:numFmt w:val="none"/>
      <w:suff w:val="space"/>
      <w:lvlText w:val=""/>
      <w:lvlJc w:val="left"/>
      <w:pPr>
        <w:ind w:left="-32767" w:firstLine="0"/>
      </w:pPr>
      <w:rPr>
        <w:b w:val="0"/>
        <w:i w:val="0"/>
      </w:rPr>
    </w:lvl>
    <w:lvl w:ilvl="4">
      <w:numFmt w:val="none"/>
      <w:suff w:val="nothing"/>
      <w:lvlText w:val=""/>
      <w:lvlJc w:val="left"/>
      <w:pPr>
        <w:ind w:left="-32767" w:firstLine="0"/>
      </w:pPr>
      <w:rPr>
        <w:b w:val="0"/>
        <w:i w:val="0"/>
      </w:rPr>
    </w:lvl>
    <w:lvl w:ilvl="5">
      <w:numFmt w:val="none"/>
      <w:suff w:val="nothing"/>
      <w:lvlText w:val=""/>
      <w:lvlJc w:val="left"/>
      <w:pPr>
        <w:ind w:left="-32767" w:firstLine="0"/>
      </w:pPr>
      <w:rPr>
        <w:b w:val="0"/>
        <w:i w:val="0"/>
      </w:rPr>
    </w:lvl>
    <w:lvl w:ilvl="6">
      <w:numFmt w:val="none"/>
      <w:suff w:val="nothing"/>
      <w:lvlText w:val=""/>
      <w:lvlJc w:val="left"/>
      <w:pPr>
        <w:ind w:left="-32767" w:firstLine="0"/>
      </w:pPr>
      <w:rPr>
        <w:b w:val="0"/>
        <w:i w:val="0"/>
      </w:rPr>
    </w:lvl>
    <w:lvl w:ilvl="7">
      <w:start w:val="1"/>
      <w:numFmt w:val="none"/>
      <w:suff w:val="nothing"/>
      <w:lvlText w:val=""/>
      <w:lvlJc w:val="left"/>
      <w:pPr>
        <w:ind w:left="5664" w:hanging="709"/>
      </w:pPr>
    </w:lvl>
    <w:lvl w:ilvl="8">
      <w:start w:val="1"/>
      <w:numFmt w:val="none"/>
      <w:suff w:val="nothing"/>
      <w:lvlText w:val=""/>
      <w:lvlJc w:val="left"/>
      <w:pPr>
        <w:ind w:left="6372" w:hanging="708"/>
      </w:pPr>
    </w:lvl>
  </w:abstractNum>
  <w:abstractNum w:abstractNumId="3">
    <w:nsid w:val="670B6445"/>
    <w:multiLevelType w:val="hybridMultilevel"/>
    <w:tmpl w:val="024A21FC"/>
    <w:lvl w:ilvl="0" w:tplc="DB1E8ACA">
      <w:start w:val="1"/>
      <w:numFmt w:val="decimal"/>
      <w:lvlText w:val="%1."/>
      <w:lvlJc w:val="left"/>
      <w:pPr>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204B"/>
    <w:rsid w:val="00000046"/>
    <w:rsid w:val="00027301"/>
    <w:rsid w:val="00033DBA"/>
    <w:rsid w:val="00053D74"/>
    <w:rsid w:val="00090DB4"/>
    <w:rsid w:val="00094936"/>
    <w:rsid w:val="00096511"/>
    <w:rsid w:val="000A1AE0"/>
    <w:rsid w:val="000A30FD"/>
    <w:rsid w:val="000C2B01"/>
    <w:rsid w:val="000D0817"/>
    <w:rsid w:val="000E3A7A"/>
    <w:rsid w:val="000E4A71"/>
    <w:rsid w:val="000E4C5C"/>
    <w:rsid w:val="000E78B7"/>
    <w:rsid w:val="000F1334"/>
    <w:rsid w:val="000F29E2"/>
    <w:rsid w:val="000F787C"/>
    <w:rsid w:val="001053FC"/>
    <w:rsid w:val="00105A04"/>
    <w:rsid w:val="0010729E"/>
    <w:rsid w:val="00114A70"/>
    <w:rsid w:val="00116A0C"/>
    <w:rsid w:val="001237A1"/>
    <w:rsid w:val="0013536E"/>
    <w:rsid w:val="001455DF"/>
    <w:rsid w:val="00147274"/>
    <w:rsid w:val="00151CCB"/>
    <w:rsid w:val="001715C5"/>
    <w:rsid w:val="00174525"/>
    <w:rsid w:val="0017567F"/>
    <w:rsid w:val="00182193"/>
    <w:rsid w:val="001A072D"/>
    <w:rsid w:val="001A784E"/>
    <w:rsid w:val="001B1C9B"/>
    <w:rsid w:val="001B1F03"/>
    <w:rsid w:val="001B7D3E"/>
    <w:rsid w:val="001C6789"/>
    <w:rsid w:val="001C7CB2"/>
    <w:rsid w:val="001D1C70"/>
    <w:rsid w:val="001E01E0"/>
    <w:rsid w:val="001E5D72"/>
    <w:rsid w:val="001E7029"/>
    <w:rsid w:val="001F0DC7"/>
    <w:rsid w:val="001F4D8E"/>
    <w:rsid w:val="00200D66"/>
    <w:rsid w:val="00200FB5"/>
    <w:rsid w:val="002075D6"/>
    <w:rsid w:val="00215058"/>
    <w:rsid w:val="0024199E"/>
    <w:rsid w:val="002432CB"/>
    <w:rsid w:val="00243DB8"/>
    <w:rsid w:val="002603DC"/>
    <w:rsid w:val="00261676"/>
    <w:rsid w:val="0026311A"/>
    <w:rsid w:val="00271F42"/>
    <w:rsid w:val="00281C85"/>
    <w:rsid w:val="00287551"/>
    <w:rsid w:val="00294C5D"/>
    <w:rsid w:val="00296963"/>
    <w:rsid w:val="002B204E"/>
    <w:rsid w:val="002C425B"/>
    <w:rsid w:val="002D0020"/>
    <w:rsid w:val="002F1715"/>
    <w:rsid w:val="00305CB4"/>
    <w:rsid w:val="00307BD3"/>
    <w:rsid w:val="00310CA6"/>
    <w:rsid w:val="00316437"/>
    <w:rsid w:val="003219E6"/>
    <w:rsid w:val="003222AA"/>
    <w:rsid w:val="0034043D"/>
    <w:rsid w:val="00340998"/>
    <w:rsid w:val="00355721"/>
    <w:rsid w:val="00355E5F"/>
    <w:rsid w:val="00357119"/>
    <w:rsid w:val="003644A4"/>
    <w:rsid w:val="00380A35"/>
    <w:rsid w:val="00387A07"/>
    <w:rsid w:val="00390105"/>
    <w:rsid w:val="003A61DD"/>
    <w:rsid w:val="003C2465"/>
    <w:rsid w:val="003C26EA"/>
    <w:rsid w:val="003D6BDF"/>
    <w:rsid w:val="003F1990"/>
    <w:rsid w:val="003F2A9E"/>
    <w:rsid w:val="003F6FCB"/>
    <w:rsid w:val="004069B6"/>
    <w:rsid w:val="00406C60"/>
    <w:rsid w:val="00407C54"/>
    <w:rsid w:val="004264EA"/>
    <w:rsid w:val="00454FB9"/>
    <w:rsid w:val="00457A42"/>
    <w:rsid w:val="00460E39"/>
    <w:rsid w:val="00460F54"/>
    <w:rsid w:val="004646E2"/>
    <w:rsid w:val="0047751C"/>
    <w:rsid w:val="00482C91"/>
    <w:rsid w:val="0049204B"/>
    <w:rsid w:val="004B6481"/>
    <w:rsid w:val="004C0AAB"/>
    <w:rsid w:val="004C2508"/>
    <w:rsid w:val="004C55A9"/>
    <w:rsid w:val="004D526F"/>
    <w:rsid w:val="004D5937"/>
    <w:rsid w:val="004F5FE6"/>
    <w:rsid w:val="005158FB"/>
    <w:rsid w:val="00523AD1"/>
    <w:rsid w:val="005245E0"/>
    <w:rsid w:val="00526E5F"/>
    <w:rsid w:val="00532B57"/>
    <w:rsid w:val="00533497"/>
    <w:rsid w:val="005479D9"/>
    <w:rsid w:val="005503F2"/>
    <w:rsid w:val="00555FF9"/>
    <w:rsid w:val="0057662B"/>
    <w:rsid w:val="005819A9"/>
    <w:rsid w:val="00582FBF"/>
    <w:rsid w:val="005C0B86"/>
    <w:rsid w:val="005D4A1B"/>
    <w:rsid w:val="005D60B3"/>
    <w:rsid w:val="005D7C14"/>
    <w:rsid w:val="005D7F53"/>
    <w:rsid w:val="005E4B49"/>
    <w:rsid w:val="006039FF"/>
    <w:rsid w:val="006168FB"/>
    <w:rsid w:val="00635E6C"/>
    <w:rsid w:val="00651B0B"/>
    <w:rsid w:val="006756E9"/>
    <w:rsid w:val="0068130D"/>
    <w:rsid w:val="0069060B"/>
    <w:rsid w:val="00691D2B"/>
    <w:rsid w:val="00695834"/>
    <w:rsid w:val="006A2DB7"/>
    <w:rsid w:val="006B170E"/>
    <w:rsid w:val="006D3E9B"/>
    <w:rsid w:val="006D7980"/>
    <w:rsid w:val="006E5B42"/>
    <w:rsid w:val="006F0000"/>
    <w:rsid w:val="006F3A74"/>
    <w:rsid w:val="0070696A"/>
    <w:rsid w:val="00711343"/>
    <w:rsid w:val="00713092"/>
    <w:rsid w:val="007422CF"/>
    <w:rsid w:val="007475A9"/>
    <w:rsid w:val="00764775"/>
    <w:rsid w:val="00764795"/>
    <w:rsid w:val="007769D3"/>
    <w:rsid w:val="00790607"/>
    <w:rsid w:val="00793430"/>
    <w:rsid w:val="007A645F"/>
    <w:rsid w:val="007A7D9A"/>
    <w:rsid w:val="007C4604"/>
    <w:rsid w:val="007D4627"/>
    <w:rsid w:val="007D7FC1"/>
    <w:rsid w:val="007F2C79"/>
    <w:rsid w:val="00813922"/>
    <w:rsid w:val="00822B25"/>
    <w:rsid w:val="00826440"/>
    <w:rsid w:val="0083617D"/>
    <w:rsid w:val="00845F10"/>
    <w:rsid w:val="00854CDD"/>
    <w:rsid w:val="0085791A"/>
    <w:rsid w:val="00861769"/>
    <w:rsid w:val="00872BAA"/>
    <w:rsid w:val="008749FE"/>
    <w:rsid w:val="00897A09"/>
    <w:rsid w:val="008A2975"/>
    <w:rsid w:val="008C7509"/>
    <w:rsid w:val="008D4E40"/>
    <w:rsid w:val="008D6303"/>
    <w:rsid w:val="008F67DE"/>
    <w:rsid w:val="00900ACC"/>
    <w:rsid w:val="009028E0"/>
    <w:rsid w:val="00913573"/>
    <w:rsid w:val="009403A9"/>
    <w:rsid w:val="0094795E"/>
    <w:rsid w:val="00951DE6"/>
    <w:rsid w:val="00957EB7"/>
    <w:rsid w:val="009636D1"/>
    <w:rsid w:val="00974C7C"/>
    <w:rsid w:val="00987280"/>
    <w:rsid w:val="009B16AB"/>
    <w:rsid w:val="009B2718"/>
    <w:rsid w:val="009B5CBD"/>
    <w:rsid w:val="009D0515"/>
    <w:rsid w:val="009D59EC"/>
    <w:rsid w:val="009D6402"/>
    <w:rsid w:val="009E13B8"/>
    <w:rsid w:val="009E18FC"/>
    <w:rsid w:val="009E45EA"/>
    <w:rsid w:val="009E56D5"/>
    <w:rsid w:val="009E6101"/>
    <w:rsid w:val="00A46A8E"/>
    <w:rsid w:val="00A51A69"/>
    <w:rsid w:val="00A5417E"/>
    <w:rsid w:val="00A60375"/>
    <w:rsid w:val="00A636DB"/>
    <w:rsid w:val="00A65FEB"/>
    <w:rsid w:val="00A734DD"/>
    <w:rsid w:val="00AA3B29"/>
    <w:rsid w:val="00AB52A2"/>
    <w:rsid w:val="00AD5CB3"/>
    <w:rsid w:val="00AE3995"/>
    <w:rsid w:val="00AE4886"/>
    <w:rsid w:val="00AE743B"/>
    <w:rsid w:val="00B0127C"/>
    <w:rsid w:val="00B10D6A"/>
    <w:rsid w:val="00B22D9C"/>
    <w:rsid w:val="00B40B69"/>
    <w:rsid w:val="00B44AD3"/>
    <w:rsid w:val="00B73312"/>
    <w:rsid w:val="00B95F8E"/>
    <w:rsid w:val="00BB28F6"/>
    <w:rsid w:val="00BB66CE"/>
    <w:rsid w:val="00BB7420"/>
    <w:rsid w:val="00BE14E0"/>
    <w:rsid w:val="00BF3DE2"/>
    <w:rsid w:val="00C01015"/>
    <w:rsid w:val="00C060C3"/>
    <w:rsid w:val="00C1116B"/>
    <w:rsid w:val="00C32B01"/>
    <w:rsid w:val="00C36366"/>
    <w:rsid w:val="00C36BD5"/>
    <w:rsid w:val="00C37AD6"/>
    <w:rsid w:val="00C46941"/>
    <w:rsid w:val="00C50AC1"/>
    <w:rsid w:val="00C62334"/>
    <w:rsid w:val="00C70DE8"/>
    <w:rsid w:val="00C71E1A"/>
    <w:rsid w:val="00C76F9C"/>
    <w:rsid w:val="00C92D59"/>
    <w:rsid w:val="00CA12A5"/>
    <w:rsid w:val="00CB20CA"/>
    <w:rsid w:val="00CD618E"/>
    <w:rsid w:val="00CE1231"/>
    <w:rsid w:val="00CF574F"/>
    <w:rsid w:val="00CF6D29"/>
    <w:rsid w:val="00CF7CC1"/>
    <w:rsid w:val="00D121F2"/>
    <w:rsid w:val="00D33395"/>
    <w:rsid w:val="00D37FAC"/>
    <w:rsid w:val="00D536E5"/>
    <w:rsid w:val="00D5786F"/>
    <w:rsid w:val="00D63847"/>
    <w:rsid w:val="00D708C8"/>
    <w:rsid w:val="00D83AE3"/>
    <w:rsid w:val="00D850BA"/>
    <w:rsid w:val="00D874FD"/>
    <w:rsid w:val="00D96CBA"/>
    <w:rsid w:val="00DB2035"/>
    <w:rsid w:val="00DB6959"/>
    <w:rsid w:val="00DB6A9A"/>
    <w:rsid w:val="00DB7B17"/>
    <w:rsid w:val="00DC04C5"/>
    <w:rsid w:val="00DC1783"/>
    <w:rsid w:val="00DC5252"/>
    <w:rsid w:val="00DD078D"/>
    <w:rsid w:val="00DD56C9"/>
    <w:rsid w:val="00DE7E02"/>
    <w:rsid w:val="00DF31D0"/>
    <w:rsid w:val="00E025B7"/>
    <w:rsid w:val="00E1087E"/>
    <w:rsid w:val="00E21D1D"/>
    <w:rsid w:val="00E541A9"/>
    <w:rsid w:val="00E558F4"/>
    <w:rsid w:val="00E571AD"/>
    <w:rsid w:val="00E646C4"/>
    <w:rsid w:val="00E67E53"/>
    <w:rsid w:val="00E82DA4"/>
    <w:rsid w:val="00E94956"/>
    <w:rsid w:val="00EA4DBE"/>
    <w:rsid w:val="00EA5CEC"/>
    <w:rsid w:val="00EB067C"/>
    <w:rsid w:val="00EB1569"/>
    <w:rsid w:val="00EB23B8"/>
    <w:rsid w:val="00EC29C4"/>
    <w:rsid w:val="00EC452B"/>
    <w:rsid w:val="00EC6295"/>
    <w:rsid w:val="00ED7EE9"/>
    <w:rsid w:val="00ED7F5E"/>
    <w:rsid w:val="00EE04F4"/>
    <w:rsid w:val="00EE0D6D"/>
    <w:rsid w:val="00F009CF"/>
    <w:rsid w:val="00F02138"/>
    <w:rsid w:val="00F06A21"/>
    <w:rsid w:val="00F22986"/>
    <w:rsid w:val="00F31256"/>
    <w:rsid w:val="00F33DEB"/>
    <w:rsid w:val="00F46362"/>
    <w:rsid w:val="00F64D7E"/>
    <w:rsid w:val="00F74CD9"/>
    <w:rsid w:val="00F800FB"/>
    <w:rsid w:val="00F84CB3"/>
    <w:rsid w:val="00F951B3"/>
    <w:rsid w:val="00F97E97"/>
    <w:rsid w:val="00FA310B"/>
    <w:rsid w:val="00FA581D"/>
    <w:rsid w:val="00FD097C"/>
    <w:rsid w:val="00FF5347"/>
    <w:rsid w:val="00FF7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6BD4775B-86DB-4A2F-A45D-A2A5085C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04B"/>
    <w:pPr>
      <w:spacing w:after="0" w:line="240" w:lineRule="auto"/>
    </w:pPr>
    <w:rPr>
      <w:rFonts w:ascii="Arial" w:eastAsia="Times New Roman" w:hAnsi="Arial" w:cs="Times New Roman"/>
      <w:snapToGrid w:val="0"/>
      <w:sz w:val="20"/>
      <w:szCs w:val="20"/>
    </w:rPr>
  </w:style>
  <w:style w:type="paragraph" w:styleId="Heading1">
    <w:name w:val="heading 1"/>
    <w:aliases w:val="h1,No numbers"/>
    <w:basedOn w:val="Normal"/>
    <w:next w:val="Heading2"/>
    <w:link w:val="Heading1Char"/>
    <w:autoRedefine/>
    <w:qFormat/>
    <w:rsid w:val="0049204B"/>
    <w:pPr>
      <w:keepNext/>
      <w:keepLines/>
      <w:numPr>
        <w:numId w:val="2"/>
      </w:numPr>
      <w:pBdr>
        <w:top w:val="single" w:sz="4" w:space="5" w:color="auto"/>
      </w:pBdr>
      <w:tabs>
        <w:tab w:val="clear" w:pos="709"/>
      </w:tabs>
      <w:spacing w:after="240" w:line="300" w:lineRule="auto"/>
      <w:ind w:left="851" w:hanging="851"/>
      <w:jc w:val="both"/>
      <w:outlineLvl w:val="0"/>
    </w:pPr>
    <w:rPr>
      <w:b/>
      <w:kern w:val="28"/>
      <w:sz w:val="24"/>
    </w:rPr>
  </w:style>
  <w:style w:type="paragraph" w:styleId="Heading2">
    <w:name w:val="heading 2"/>
    <w:aliases w:val="h2"/>
    <w:basedOn w:val="Normal"/>
    <w:next w:val="Indent2"/>
    <w:link w:val="Heading2Char"/>
    <w:autoRedefine/>
    <w:qFormat/>
    <w:rsid w:val="008D6303"/>
    <w:pPr>
      <w:widowControl w:val="0"/>
      <w:numPr>
        <w:ilvl w:val="1"/>
        <w:numId w:val="2"/>
      </w:numPr>
      <w:spacing w:before="120" w:after="120" w:line="300" w:lineRule="auto"/>
      <w:ind w:left="851" w:hanging="851"/>
      <w:jc w:val="both"/>
      <w:outlineLvl w:val="1"/>
    </w:pPr>
  </w:style>
  <w:style w:type="paragraph" w:styleId="Heading3">
    <w:name w:val="heading 3"/>
    <w:aliases w:val="h3"/>
    <w:basedOn w:val="Normal"/>
    <w:link w:val="Heading3Char"/>
    <w:autoRedefine/>
    <w:qFormat/>
    <w:rsid w:val="0049204B"/>
    <w:pPr>
      <w:numPr>
        <w:ilvl w:val="2"/>
        <w:numId w:val="2"/>
      </w:numPr>
      <w:spacing w:before="120" w:after="120" w:line="300" w:lineRule="auto"/>
      <w:jc w:val="both"/>
      <w:outlineLvl w:val="2"/>
    </w:pPr>
  </w:style>
  <w:style w:type="paragraph" w:styleId="Heading4">
    <w:name w:val="heading 4"/>
    <w:aliases w:val="h4"/>
    <w:basedOn w:val="Normal"/>
    <w:link w:val="Heading4Char"/>
    <w:autoRedefine/>
    <w:qFormat/>
    <w:rsid w:val="0049204B"/>
    <w:pPr>
      <w:widowControl w:val="0"/>
      <w:numPr>
        <w:ilvl w:val="3"/>
        <w:numId w:val="2"/>
      </w:numPr>
      <w:tabs>
        <w:tab w:val="clear" w:pos="2126"/>
      </w:tabs>
      <w:spacing w:before="120" w:after="120" w:line="300" w:lineRule="auto"/>
      <w:ind w:left="2552" w:hanging="851"/>
      <w:jc w:val="both"/>
      <w:outlineLvl w:val="3"/>
    </w:pPr>
  </w:style>
  <w:style w:type="paragraph" w:styleId="Heading5">
    <w:name w:val="heading 5"/>
    <w:basedOn w:val="Normal"/>
    <w:link w:val="Heading5Char"/>
    <w:qFormat/>
    <w:rsid w:val="0049204B"/>
    <w:pPr>
      <w:numPr>
        <w:ilvl w:val="4"/>
        <w:numId w:val="2"/>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
    <w:basedOn w:val="DefaultParagraphFont"/>
    <w:link w:val="Heading1"/>
    <w:rsid w:val="0049204B"/>
    <w:rPr>
      <w:rFonts w:ascii="Arial" w:eastAsia="Times New Roman" w:hAnsi="Arial" w:cs="Times New Roman"/>
      <w:b/>
      <w:snapToGrid w:val="0"/>
      <w:kern w:val="28"/>
      <w:sz w:val="24"/>
      <w:szCs w:val="20"/>
    </w:rPr>
  </w:style>
  <w:style w:type="character" w:customStyle="1" w:styleId="Heading2Char">
    <w:name w:val="Heading 2 Char"/>
    <w:aliases w:val="h2 Char"/>
    <w:basedOn w:val="DefaultParagraphFont"/>
    <w:link w:val="Heading2"/>
    <w:rsid w:val="008D6303"/>
    <w:rPr>
      <w:rFonts w:ascii="Arial" w:eastAsia="Times New Roman" w:hAnsi="Arial" w:cs="Times New Roman"/>
      <w:snapToGrid w:val="0"/>
      <w:sz w:val="20"/>
      <w:szCs w:val="20"/>
    </w:rPr>
  </w:style>
  <w:style w:type="character" w:customStyle="1" w:styleId="Heading3Char">
    <w:name w:val="Heading 3 Char"/>
    <w:aliases w:val="h3 Char"/>
    <w:basedOn w:val="DefaultParagraphFont"/>
    <w:link w:val="Heading3"/>
    <w:rsid w:val="0049204B"/>
    <w:rPr>
      <w:rFonts w:ascii="Arial" w:eastAsia="Times New Roman" w:hAnsi="Arial" w:cs="Times New Roman"/>
      <w:snapToGrid w:val="0"/>
      <w:sz w:val="20"/>
      <w:szCs w:val="20"/>
    </w:rPr>
  </w:style>
  <w:style w:type="character" w:customStyle="1" w:styleId="Heading4Char">
    <w:name w:val="Heading 4 Char"/>
    <w:aliases w:val="h4 Char"/>
    <w:basedOn w:val="DefaultParagraphFont"/>
    <w:link w:val="Heading4"/>
    <w:rsid w:val="0049204B"/>
    <w:rPr>
      <w:rFonts w:ascii="Arial" w:eastAsia="Times New Roman" w:hAnsi="Arial" w:cs="Times New Roman"/>
      <w:snapToGrid w:val="0"/>
      <w:sz w:val="20"/>
      <w:szCs w:val="20"/>
    </w:rPr>
  </w:style>
  <w:style w:type="character" w:customStyle="1" w:styleId="Heading5Char">
    <w:name w:val="Heading 5 Char"/>
    <w:basedOn w:val="DefaultParagraphFont"/>
    <w:link w:val="Heading5"/>
    <w:rsid w:val="0049204B"/>
    <w:rPr>
      <w:rFonts w:ascii="Arial" w:eastAsia="Times New Roman" w:hAnsi="Arial" w:cs="Times New Roman"/>
      <w:snapToGrid w:val="0"/>
      <w:sz w:val="20"/>
      <w:szCs w:val="20"/>
    </w:rPr>
  </w:style>
  <w:style w:type="paragraph" w:customStyle="1" w:styleId="Indent2">
    <w:name w:val="Indent 2"/>
    <w:basedOn w:val="Normal"/>
    <w:rsid w:val="0049204B"/>
    <w:pPr>
      <w:tabs>
        <w:tab w:val="left" w:pos="1418"/>
        <w:tab w:val="left" w:pos="2127"/>
      </w:tabs>
      <w:spacing w:after="240"/>
      <w:ind w:left="709"/>
    </w:pPr>
  </w:style>
  <w:style w:type="paragraph" w:styleId="Footer">
    <w:name w:val="footer"/>
    <w:basedOn w:val="Normal"/>
    <w:link w:val="FooterChar"/>
    <w:uiPriority w:val="99"/>
    <w:rsid w:val="0049204B"/>
    <w:pPr>
      <w:pBdr>
        <w:top w:val="single" w:sz="4" w:space="5" w:color="auto"/>
      </w:pBdr>
      <w:tabs>
        <w:tab w:val="right" w:pos="9072"/>
      </w:tabs>
      <w:spacing w:before="480"/>
    </w:pPr>
    <w:rPr>
      <w:sz w:val="16"/>
    </w:rPr>
  </w:style>
  <w:style w:type="character" w:customStyle="1" w:styleId="FooterChar">
    <w:name w:val="Footer Char"/>
    <w:basedOn w:val="DefaultParagraphFont"/>
    <w:link w:val="Footer"/>
    <w:uiPriority w:val="99"/>
    <w:rsid w:val="0049204B"/>
    <w:rPr>
      <w:rFonts w:ascii="Arial" w:eastAsia="Times New Roman" w:hAnsi="Arial" w:cs="Times New Roman"/>
      <w:snapToGrid w:val="0"/>
      <w:sz w:val="16"/>
      <w:szCs w:val="20"/>
    </w:rPr>
  </w:style>
  <w:style w:type="paragraph" w:customStyle="1" w:styleId="Indent1">
    <w:name w:val="Indent 1"/>
    <w:basedOn w:val="Normal"/>
    <w:rsid w:val="0049204B"/>
    <w:pPr>
      <w:tabs>
        <w:tab w:val="left" w:pos="709"/>
        <w:tab w:val="left" w:pos="1418"/>
      </w:tabs>
      <w:spacing w:after="240"/>
    </w:pPr>
  </w:style>
  <w:style w:type="paragraph" w:styleId="List">
    <w:name w:val="List"/>
    <w:basedOn w:val="Normal"/>
    <w:rsid w:val="0049204B"/>
    <w:pPr>
      <w:widowControl w:val="0"/>
      <w:ind w:left="283" w:hanging="283"/>
    </w:pPr>
    <w:rPr>
      <w:rFonts w:ascii="Times New Roman" w:hAnsi="Times New Roman"/>
      <w:sz w:val="24"/>
      <w:lang w:val="en-US"/>
    </w:rPr>
  </w:style>
  <w:style w:type="character" w:styleId="Hyperlink">
    <w:name w:val="Hyperlink"/>
    <w:basedOn w:val="DefaultParagraphFont"/>
    <w:uiPriority w:val="99"/>
    <w:rsid w:val="0049204B"/>
    <w:rPr>
      <w:color w:val="0000FF"/>
      <w:u w:val="single"/>
    </w:rPr>
  </w:style>
  <w:style w:type="paragraph" w:customStyle="1" w:styleId="Execution">
    <w:name w:val="Execution"/>
    <w:basedOn w:val="Normal"/>
    <w:next w:val="Indent1"/>
    <w:rsid w:val="0049204B"/>
    <w:pPr>
      <w:pageBreakBefore/>
      <w:numPr>
        <w:numId w:val="1"/>
      </w:numPr>
      <w:pBdr>
        <w:top w:val="single" w:sz="4" w:space="5" w:color="auto"/>
      </w:pBdr>
      <w:spacing w:after="480"/>
    </w:pPr>
    <w:rPr>
      <w:b/>
      <w:sz w:val="28"/>
    </w:rPr>
  </w:style>
  <w:style w:type="paragraph" w:styleId="NoSpacing">
    <w:name w:val="No Spacing"/>
    <w:link w:val="NoSpacingChar"/>
    <w:uiPriority w:val="1"/>
    <w:qFormat/>
    <w:rsid w:val="0049204B"/>
    <w:pPr>
      <w:spacing w:after="0" w:line="240" w:lineRule="auto"/>
    </w:pPr>
    <w:rPr>
      <w:rFonts w:ascii="Calibri" w:eastAsia="PMingLiU" w:hAnsi="Calibri" w:cs="Cordia New"/>
      <w:lang w:val="en-US"/>
    </w:rPr>
  </w:style>
  <w:style w:type="character" w:customStyle="1" w:styleId="NoSpacingChar">
    <w:name w:val="No Spacing Char"/>
    <w:basedOn w:val="DefaultParagraphFont"/>
    <w:link w:val="NoSpacing"/>
    <w:uiPriority w:val="1"/>
    <w:rsid w:val="0049204B"/>
    <w:rPr>
      <w:rFonts w:ascii="Calibri" w:eastAsia="PMingLiU" w:hAnsi="Calibri" w:cs="Cordia New"/>
      <w:lang w:val="en-US"/>
    </w:rPr>
  </w:style>
  <w:style w:type="paragraph" w:customStyle="1" w:styleId="StyleIndent2Left15cm">
    <w:name w:val="Style Indent 2 + Left:  1.5 cm"/>
    <w:basedOn w:val="Indent2"/>
    <w:autoRedefine/>
    <w:rsid w:val="0049204B"/>
    <w:pPr>
      <w:spacing w:before="120" w:after="120" w:line="300" w:lineRule="auto"/>
      <w:ind w:left="851"/>
    </w:pPr>
  </w:style>
  <w:style w:type="paragraph" w:styleId="Header">
    <w:name w:val="header"/>
    <w:basedOn w:val="Normal"/>
    <w:link w:val="HeaderChar"/>
    <w:uiPriority w:val="99"/>
    <w:unhideWhenUsed/>
    <w:rsid w:val="00845F10"/>
    <w:pPr>
      <w:tabs>
        <w:tab w:val="center" w:pos="4513"/>
        <w:tab w:val="right" w:pos="9026"/>
      </w:tabs>
    </w:pPr>
  </w:style>
  <w:style w:type="character" w:customStyle="1" w:styleId="HeaderChar">
    <w:name w:val="Header Char"/>
    <w:basedOn w:val="DefaultParagraphFont"/>
    <w:link w:val="Header"/>
    <w:uiPriority w:val="99"/>
    <w:rsid w:val="00845F10"/>
    <w:rPr>
      <w:rFonts w:ascii="Arial" w:eastAsia="Times New Roman" w:hAnsi="Arial" w:cs="Times New Roman"/>
      <w:snapToGrid w:val="0"/>
      <w:sz w:val="20"/>
      <w:szCs w:val="20"/>
    </w:rPr>
  </w:style>
  <w:style w:type="paragraph" w:customStyle="1" w:styleId="Pa111">
    <w:name w:val="Pa11+1"/>
    <w:basedOn w:val="Normal"/>
    <w:next w:val="Normal"/>
    <w:uiPriority w:val="99"/>
    <w:rsid w:val="006D3E9B"/>
    <w:pPr>
      <w:autoSpaceDE w:val="0"/>
      <w:autoSpaceDN w:val="0"/>
      <w:adjustRightInd w:val="0"/>
      <w:spacing w:line="241" w:lineRule="atLeast"/>
    </w:pPr>
    <w:rPr>
      <w:rFonts w:ascii="Helvetica" w:eastAsiaTheme="minorHAnsi" w:hAnsi="Helvetica" w:cstheme="minorBidi"/>
      <w:snapToGrid/>
      <w:sz w:val="24"/>
      <w:szCs w:val="24"/>
    </w:rPr>
  </w:style>
  <w:style w:type="character" w:customStyle="1" w:styleId="A41">
    <w:name w:val="A4+1"/>
    <w:uiPriority w:val="99"/>
    <w:rsid w:val="006D3E9B"/>
    <w:rPr>
      <w:rFonts w:cs="Helvetica"/>
      <w:b/>
      <w:bC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audit</dc:creator>
  <cp:lastModifiedBy>Audit</cp:lastModifiedBy>
  <cp:revision>10</cp:revision>
  <dcterms:created xsi:type="dcterms:W3CDTF">2016-07-01T03:46:00Z</dcterms:created>
  <dcterms:modified xsi:type="dcterms:W3CDTF">2016-08-02T04:35:00Z</dcterms:modified>
</cp:coreProperties>
</file>