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3E80C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14:paraId="72865B0B" w14:textId="77777777" w:rsidTr="00CA485C">
        <w:tc>
          <w:tcPr>
            <w:tcW w:w="3800" w:type="dxa"/>
          </w:tcPr>
          <w:p w14:paraId="0D09FDA3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5354118F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5B326F64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8E8445E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4193995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66EC4F2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D3487E" w:rsidRPr="00DC70C0" w14:paraId="09BB3542" w14:textId="77777777" w:rsidTr="00CA485C">
        <w:trPr>
          <w:trHeight w:val="42"/>
        </w:trPr>
        <w:tc>
          <w:tcPr>
            <w:tcW w:w="3800" w:type="dxa"/>
          </w:tcPr>
          <w:p w14:paraId="275F9AC0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9C0850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6DF195FB" w14:textId="77777777" w:rsidTr="00CA485C">
        <w:tc>
          <w:tcPr>
            <w:tcW w:w="3800" w:type="dxa"/>
          </w:tcPr>
          <w:p w14:paraId="6DF6D9CC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320E697C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D3487E" w:rsidRPr="00DC70C0" w14:paraId="1BE5FC74" w14:textId="77777777" w:rsidTr="00CA485C">
        <w:tc>
          <w:tcPr>
            <w:tcW w:w="3800" w:type="dxa"/>
          </w:tcPr>
          <w:p w14:paraId="6813B983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57C0D63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6D089C79" w14:textId="77777777" w:rsidTr="00CA485C">
        <w:tc>
          <w:tcPr>
            <w:tcW w:w="3800" w:type="dxa"/>
          </w:tcPr>
          <w:p w14:paraId="6112C222" w14:textId="77777777" w:rsidR="00D3487E" w:rsidRPr="00720E16" w:rsidRDefault="00D3487E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27AE83F2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D3487E" w:rsidRPr="00DC70C0" w14:paraId="1F12C97E" w14:textId="77777777" w:rsidTr="00CA485C">
        <w:tc>
          <w:tcPr>
            <w:tcW w:w="3800" w:type="dxa"/>
          </w:tcPr>
          <w:p w14:paraId="7E67CBAF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6EFDF0FB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515FB5E1" w14:textId="77777777" w:rsidTr="00CA485C">
        <w:tc>
          <w:tcPr>
            <w:tcW w:w="3800" w:type="dxa"/>
          </w:tcPr>
          <w:p w14:paraId="2EC8A770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62CC4429" w14:textId="77777777" w:rsidR="00D3487E" w:rsidRPr="00464C29" w:rsidRDefault="00D3487E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D3487E" w:rsidRPr="00DC70C0" w14:paraId="5C27C1C9" w14:textId="77777777" w:rsidTr="00CA485C">
        <w:tc>
          <w:tcPr>
            <w:tcW w:w="3800" w:type="dxa"/>
          </w:tcPr>
          <w:p w14:paraId="5FD16289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7EBE0DE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9049707" w14:textId="77777777" w:rsidTr="00CA485C">
        <w:tc>
          <w:tcPr>
            <w:tcW w:w="3800" w:type="dxa"/>
          </w:tcPr>
          <w:p w14:paraId="7C4233D4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12CB36DE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D3487E" w:rsidRPr="00DC70C0" w14:paraId="4C80ECA8" w14:textId="77777777" w:rsidTr="00CA485C">
        <w:tc>
          <w:tcPr>
            <w:tcW w:w="3800" w:type="dxa"/>
          </w:tcPr>
          <w:p w14:paraId="602299BE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A7102B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AD8B33A" w14:textId="77777777" w:rsidTr="00CA485C">
        <w:tc>
          <w:tcPr>
            <w:tcW w:w="3800" w:type="dxa"/>
          </w:tcPr>
          <w:p w14:paraId="0903D741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73659381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D3487E" w:rsidRPr="00DC70C0" w14:paraId="6672A1E5" w14:textId="77777777" w:rsidTr="00CA485C">
        <w:tc>
          <w:tcPr>
            <w:tcW w:w="3800" w:type="dxa"/>
          </w:tcPr>
          <w:p w14:paraId="06607930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E15D3F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175E696" w14:textId="77777777" w:rsidTr="00CA485C">
        <w:tc>
          <w:tcPr>
            <w:tcW w:w="3800" w:type="dxa"/>
          </w:tcPr>
          <w:p w14:paraId="56B9BA3D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2E2A8D27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7523E6AC" w14:textId="77777777" w:rsidTr="00CA485C">
        <w:tc>
          <w:tcPr>
            <w:tcW w:w="3800" w:type="dxa"/>
          </w:tcPr>
          <w:p w14:paraId="131BE508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02E23E5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218A5268" w14:textId="77777777" w:rsidTr="00CA485C">
        <w:tc>
          <w:tcPr>
            <w:tcW w:w="3800" w:type="dxa"/>
          </w:tcPr>
          <w:p w14:paraId="7D55568E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5F2B04C5" w14:textId="249290B5" w:rsidR="001131F6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 xml:space="preserve">noted that </w:t>
            </w:r>
            <w:r w:rsidR="001131F6" w:rsidRPr="001131F6">
              <w:rPr>
                <w:rFonts w:ascii="Helvetica" w:hAnsi="Helvetica"/>
                <w:sz w:val="18"/>
                <w:szCs w:val="18"/>
                <w:lang w:val="en-US"/>
              </w:rPr>
              <w:t>in December 2019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 xml:space="preserve"> the Trustees decided to dis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pose of all units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 xml:space="preserve">owned 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in the Colonial First State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 xml:space="preserve">Imputation Fund 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and Yarra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>Emerging L</w:t>
            </w:r>
            <w:bookmarkStart w:id="0" w:name="_GoBack"/>
            <w:bookmarkEnd w:id="0"/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>eaders Fund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>i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nvestments worth $18,746.07 and $75,309.16 </w:t>
            </w:r>
            <w:r w:rsidR="001131F6" w:rsidRPr="001131F6">
              <w:rPr>
                <w:rFonts w:ascii="Helvetica" w:hAnsi="Helvetica"/>
                <w:sz w:val="18"/>
                <w:szCs w:val="18"/>
                <w:lang w:val="en-US"/>
              </w:rPr>
              <w:t>respectively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. The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>T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rustee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>considered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 this </w:t>
            </w:r>
            <w:r w:rsidR="001131F6">
              <w:rPr>
                <w:rFonts w:ascii="Helvetica" w:hAnsi="Helvetica"/>
                <w:sz w:val="18"/>
                <w:szCs w:val="18"/>
                <w:lang w:val="en-US"/>
              </w:rPr>
              <w:t xml:space="preserve">to be appropriate for the Fund and noted that the disposals: </w:t>
            </w:r>
          </w:p>
          <w:p w14:paraId="3D79EA3E" w14:textId="77777777" w:rsidR="001131F6" w:rsidRDefault="001131F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91C22EB" w14:textId="5003E2A4" w:rsidR="001131F6" w:rsidRPr="00B165EE" w:rsidRDefault="001131F6" w:rsidP="001131F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are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 accordance with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Objectives of the current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nvestment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trateg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 of the Fund; and </w:t>
            </w:r>
          </w:p>
          <w:p w14:paraId="7CDFB059" w14:textId="34B07B43" w:rsidR="001131F6" w:rsidRDefault="001131F6" w:rsidP="001131F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E43BA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do not breach any Superannuation Laws.</w:t>
            </w:r>
          </w:p>
          <w:p w14:paraId="71889A68" w14:textId="77777777" w:rsidR="001131F6" w:rsidRDefault="001131F6" w:rsidP="001131F6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DE69260" w14:textId="209873D5" w:rsidR="00D3487E" w:rsidRPr="001131F6" w:rsidRDefault="001131F6" w:rsidP="001131F6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  <w:r w:rsidR="006363C1"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 </w:t>
            </w:r>
          </w:p>
        </w:tc>
      </w:tr>
      <w:tr w:rsidR="00D3487E" w:rsidRPr="00DC70C0" w14:paraId="647574CE" w14:textId="77777777" w:rsidTr="00CA485C">
        <w:tc>
          <w:tcPr>
            <w:tcW w:w="3800" w:type="dxa"/>
          </w:tcPr>
          <w:p w14:paraId="528817FA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A0CB48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6103A5C6" w14:textId="77777777" w:rsidTr="00CA485C">
        <w:tc>
          <w:tcPr>
            <w:tcW w:w="3800" w:type="dxa"/>
          </w:tcPr>
          <w:p w14:paraId="090EE8AB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1C0095D4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5D80B836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E27D36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48E6ADF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4AD1E32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106C3DD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38DBE4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0FCA24E2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8F59937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D3487E" w:rsidRPr="00DC70C0" w14:paraId="2D5438A5" w14:textId="77777777" w:rsidTr="00CA485C">
        <w:tc>
          <w:tcPr>
            <w:tcW w:w="3800" w:type="dxa"/>
          </w:tcPr>
          <w:p w14:paraId="63FB921E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5216609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</w:tbl>
    <w:p w14:paraId="48A80994" w14:textId="77777777" w:rsidR="001131F6" w:rsidRDefault="001131F6">
      <w:r>
        <w:br w:type="page"/>
      </w: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14:paraId="7A08B442" w14:textId="77777777" w:rsidTr="00CA485C">
        <w:tc>
          <w:tcPr>
            <w:tcW w:w="3800" w:type="dxa"/>
          </w:tcPr>
          <w:p w14:paraId="130DCF76" w14:textId="6D7550C2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13DC9A37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1114FA3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CD0A9D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1C11438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D57529A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D3487E" w:rsidRPr="00DC70C0" w14:paraId="539900DE" w14:textId="77777777" w:rsidTr="00CA485C">
        <w:tc>
          <w:tcPr>
            <w:tcW w:w="3800" w:type="dxa"/>
          </w:tcPr>
          <w:p w14:paraId="3AF851C5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6365CDE7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2363CB6B" w14:textId="77777777" w:rsidTr="00CA485C">
        <w:tc>
          <w:tcPr>
            <w:tcW w:w="3800" w:type="dxa"/>
          </w:tcPr>
          <w:p w14:paraId="2FC3185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548" w:type="dxa"/>
          </w:tcPr>
          <w:p w14:paraId="6A89BDAF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413EDAFC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64F205C9" w14:textId="77777777" w:rsidTr="00CA485C">
        <w:tc>
          <w:tcPr>
            <w:tcW w:w="3800" w:type="dxa"/>
          </w:tcPr>
          <w:p w14:paraId="467F817E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24978C67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57AA820" w14:textId="77777777" w:rsidTr="00CA485C">
        <w:tc>
          <w:tcPr>
            <w:tcW w:w="3800" w:type="dxa"/>
          </w:tcPr>
          <w:p w14:paraId="33D4DCF7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082DCD9F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ensured that any payment of benefits made from the Fund, meets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requirements of the Fund's deed and does not breach the superannuation laws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6035F0B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060F09B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71FB2666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AFD0AD2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6894E630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34FBFB7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reviewed the payment of the benefit and received advice that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 is in accordance with the Deed and the superannuation laws. As such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 has resolved to allow the payment of the benefits on behalf of the member.</w:t>
            </w:r>
          </w:p>
        </w:tc>
      </w:tr>
      <w:tr w:rsidR="00D3487E" w:rsidRPr="00DC70C0" w14:paraId="47AB96F5" w14:textId="77777777" w:rsidTr="00CA485C">
        <w:tc>
          <w:tcPr>
            <w:tcW w:w="3800" w:type="dxa"/>
          </w:tcPr>
          <w:p w14:paraId="1D908288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4BEC6A0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74025CDD" w14:textId="77777777" w:rsidTr="00CA485C">
        <w:tc>
          <w:tcPr>
            <w:tcW w:w="3800" w:type="dxa"/>
          </w:tcPr>
          <w:p w14:paraId="1CCB12BE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359ABF6B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0CAE2EC9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1145905E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4C0143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7D4EA1C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4E26035F" w14:textId="77777777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Raelee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Mathews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235C2D21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223C07C2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9B17DC1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B6000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256BE7C2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60E1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BF073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6B0EC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20524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4976BF76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B98E5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CA485C" w14:paraId="17D5015C" w14:textId="77777777" w:rsidTr="00BD39C5">
      <w:trPr>
        <w:trHeight w:val="375"/>
      </w:trPr>
      <w:tc>
        <w:tcPr>
          <w:tcW w:w="8584" w:type="dxa"/>
        </w:tcPr>
        <w:p w14:paraId="28246A65" w14:textId="77777777" w:rsidR="00CA485C" w:rsidRPr="008D147F" w:rsidRDefault="00CA485C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  <w:r w:rsidRPr="00EB1628">
            <w:rPr>
              <w:rFonts w:ascii="Helvetica" w:hAnsi="Helvetica"/>
              <w:b/>
              <w:noProof/>
              <w:sz w:val="32"/>
              <w:szCs w:val="32"/>
            </w:rPr>
            <w:t>the Director(s) of</w:t>
          </w:r>
        </w:p>
      </w:tc>
      <w:tc>
        <w:tcPr>
          <w:tcW w:w="2024" w:type="dxa"/>
          <w:vMerge w:val="restart"/>
        </w:tcPr>
        <w:p w14:paraId="181279BD" w14:textId="77777777" w:rsidR="00CA485C" w:rsidRDefault="00CA485C" w:rsidP="00A977E6">
          <w:pPr>
            <w:ind w:right="-8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10CA3ED9" wp14:editId="39D9C713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CA485C" w14:paraId="65207C1D" w14:textId="77777777" w:rsidTr="00BD39C5">
      <w:trPr>
        <w:trHeight w:val="319"/>
      </w:trPr>
      <w:tc>
        <w:tcPr>
          <w:tcW w:w="8584" w:type="dxa"/>
        </w:tcPr>
        <w:p w14:paraId="61A1D4A7" w14:textId="77777777" w:rsidR="00CA485C" w:rsidRPr="00D14A59" w:rsidRDefault="00CA485C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R I Gorring Pty Ltd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ACN: 094258643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1867E748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50954B7C" w14:textId="77777777" w:rsidTr="00BD39C5">
      <w:trPr>
        <w:trHeight w:val="236"/>
      </w:trPr>
      <w:tc>
        <w:tcPr>
          <w:tcW w:w="8584" w:type="dxa"/>
        </w:tcPr>
        <w:p w14:paraId="2A463EE6" w14:textId="77777777" w:rsidR="00CA485C" w:rsidRDefault="00CA485C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R I GORRING SUPERANNUATION FUND</w:t>
          </w:r>
        </w:p>
      </w:tc>
      <w:tc>
        <w:tcPr>
          <w:tcW w:w="2024" w:type="dxa"/>
          <w:vMerge/>
        </w:tcPr>
        <w:p w14:paraId="63E7D9A4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24CE60B4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A485C" w14:paraId="112BBEA9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0A7DA4E6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563E0839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1C60A5BF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45D35" w14:textId="77777777" w:rsidR="00BD39C5" w:rsidRDefault="00BD3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508B9"/>
    <w:multiLevelType w:val="hybridMultilevel"/>
    <w:tmpl w:val="E7F09A44"/>
    <w:lvl w:ilvl="0" w:tplc="195081CC">
      <w:numFmt w:val="bullet"/>
      <w:lvlText w:val=""/>
      <w:lvlJc w:val="left"/>
      <w:pPr>
        <w:ind w:left="252" w:hanging="360"/>
      </w:pPr>
      <w:rPr>
        <w:rFonts w:ascii="Symbol" w:eastAsia="SimSun" w:hAnsi="Symbol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131F6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363C1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BF2CDB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30876"/>
    <w:rsid w:val="00D31689"/>
    <w:rsid w:val="00D3487E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16AB11B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3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495B9-0371-41F5-BDA9-A5A8ABF7A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587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 Le</dc:creator>
  <dc:description>Gnostice eDocEngine V2.5 (www.gnostice.com)</dc:description>
  <cp:lastModifiedBy>Danielle Barrow</cp:lastModifiedBy>
  <cp:revision>4</cp:revision>
  <dcterms:created xsi:type="dcterms:W3CDTF">2020-11-04T04:24:00Z</dcterms:created>
  <dcterms:modified xsi:type="dcterms:W3CDTF">2020-11-04T06:14:00Z</dcterms:modified>
</cp:coreProperties>
</file>