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9A60304" w:rsidR="00B87EDE" w:rsidRDefault="0078226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Naoum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2AE08874" w:rsidR="00B87EDE" w:rsidRDefault="0078226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25 Laguna Court</w:t>
      </w:r>
    </w:p>
    <w:p w14:paraId="2AB160C6" w14:textId="58B2BA5F" w:rsidR="00B87EDE" w:rsidRDefault="0078226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Portland VIC 3305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BC7D182" w:rsidR="0047604A" w:rsidRPr="003204BD" w:rsidRDefault="0078226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Naoum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6427B6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782264">
        <w:rPr>
          <w:rFonts w:ascii="Calibri" w:eastAsia="Times New Roman" w:hAnsi="Calibri" w:cs="Times New Roman"/>
          <w:lang w:val="en-AU"/>
        </w:rPr>
        <w:t>Naoum</w:t>
      </w:r>
      <w:r w:rsidR="000F52D7">
        <w:rPr>
          <w:rFonts w:ascii="Calibri" w:eastAsia="Times New Roman" w:hAnsi="Calibri" w:cs="Times New Roman"/>
          <w:lang w:val="en-AU"/>
        </w:rPr>
        <w:t xml:space="preserve"> Super</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782264">
        <w:rPr>
          <w:rFonts w:ascii="Calibri" w:eastAsia="Times New Roman" w:hAnsi="Calibri" w:cs="Times New Roman"/>
          <w:lang w:val="en-AU"/>
        </w:rPr>
        <w:t>Naoum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82264"/>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2020-10-02T03:34:00Z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