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4446" w14:textId="77777777" w:rsidR="00700838" w:rsidRPr="008A4AFA" w:rsidRDefault="00700838" w:rsidP="00503257">
      <w:pPr>
        <w:jc w:val="center"/>
        <w:rPr>
          <w:rFonts w:ascii="Calibri" w:hAnsi="Calibri" w:cs="Times New Roman"/>
          <w:b/>
          <w:sz w:val="44"/>
          <w:szCs w:val="32"/>
        </w:rPr>
      </w:pPr>
      <w:r w:rsidRPr="008A4AFA">
        <w:rPr>
          <w:rFonts w:ascii="Calibri" w:hAnsi="Calibri" w:cs="Times New Roman"/>
          <w:b/>
          <w:bCs/>
          <w:noProof/>
          <w:sz w:val="44"/>
          <w:szCs w:val="32"/>
        </w:rPr>
        <w:t>2021</w:t>
      </w:r>
      <w:r w:rsidRPr="008A4AFA">
        <w:rPr>
          <w:rFonts w:ascii="Calibri" w:hAnsi="Calibri" w:cs="Times New Roman"/>
          <w:b/>
          <w:bCs/>
          <w:sz w:val="44"/>
          <w:szCs w:val="32"/>
        </w:rPr>
        <w:t xml:space="preserve"> Investment Strategy</w:t>
      </w:r>
    </w:p>
    <w:p w14:paraId="55698CAD" w14:textId="77777777" w:rsidR="0029753C" w:rsidRPr="008A4AFA" w:rsidRDefault="0029753C" w:rsidP="0029753C">
      <w:pPr>
        <w:jc w:val="center"/>
        <w:rPr>
          <w:rFonts w:ascii="Calibri" w:hAnsi="Calibri" w:cs="Arial"/>
          <w:b/>
          <w:bCs/>
          <w:sz w:val="28"/>
          <w:szCs w:val="28"/>
        </w:rPr>
      </w:pPr>
      <w:r w:rsidRPr="008A4AFA">
        <w:rPr>
          <w:rFonts w:ascii="Calibri" w:hAnsi="Calibri"/>
          <w:b/>
          <w:noProof/>
          <w:sz w:val="28"/>
          <w:szCs w:val="28"/>
        </w:rPr>
        <w:t>Weld-Quip Superannuation Fund</w:t>
      </w:r>
    </w:p>
    <w:p w14:paraId="1D1562BE" w14:textId="77777777" w:rsidR="00700838" w:rsidRPr="008A4AFA" w:rsidRDefault="00700838" w:rsidP="00503257">
      <w:pPr>
        <w:ind w:right="48"/>
        <w:rPr>
          <w:rFonts w:ascii="Calibri" w:hAnsi="Calibri" w:cs="Times New Roman"/>
          <w:b/>
          <w:bCs/>
        </w:rPr>
      </w:pPr>
      <w:r w:rsidRPr="008A4AFA">
        <w:rPr>
          <w:rFonts w:ascii="Calibri" w:hAnsi="Calibri" w:cs="Times New Roman"/>
          <w:b/>
          <w:bCs/>
        </w:rPr>
        <w:t>Background:</w:t>
      </w:r>
    </w:p>
    <w:p w14:paraId="5879D8DB" w14:textId="29D83235" w:rsidR="00700838" w:rsidRPr="008A4AFA" w:rsidRDefault="00700838" w:rsidP="00503257">
      <w:pPr>
        <w:rPr>
          <w:rFonts w:ascii="Calibri" w:hAnsi="Calibri" w:cs="Arial"/>
          <w:b/>
          <w:bCs/>
        </w:rPr>
      </w:pPr>
      <w:r w:rsidRPr="008A4AFA">
        <w:rPr>
          <w:rFonts w:ascii="Calibri" w:hAnsi="Calibri" w:cs="Times New Roman"/>
        </w:rPr>
        <w:t xml:space="preserve">The investment strategy outlined below represents an expansion and clarification of the Investment Strategy agreed at the formation </w:t>
      </w:r>
      <w:r w:rsidR="008A4AFA" w:rsidRPr="008A4AFA">
        <w:rPr>
          <w:rFonts w:ascii="Calibri" w:hAnsi="Calibri" w:cs="Times New Roman"/>
        </w:rPr>
        <w:t>of Weld</w:t>
      </w:r>
      <w:r w:rsidR="0029753C" w:rsidRPr="008A4AFA">
        <w:rPr>
          <w:rFonts w:ascii="Calibri" w:hAnsi="Calibri" w:cs="Times New Roman"/>
        </w:rPr>
        <w:t>-Quip</w:t>
      </w:r>
      <w:r w:rsidR="0029753C" w:rsidRPr="008A4AFA">
        <w:rPr>
          <w:rFonts w:ascii="Calibri" w:hAnsi="Calibri" w:cs="Times New Roman"/>
          <w:noProof/>
        </w:rPr>
        <w:t xml:space="preserve"> Superannuation Fund.</w:t>
      </w:r>
    </w:p>
    <w:p w14:paraId="57E13E96" w14:textId="77777777" w:rsidR="00700838" w:rsidRPr="008A4AFA" w:rsidRDefault="00700838" w:rsidP="00503257">
      <w:pPr>
        <w:ind w:right="48"/>
        <w:rPr>
          <w:rFonts w:ascii="Calibri" w:hAnsi="Calibri" w:cs="Times New Roman"/>
          <w:b/>
          <w:bCs/>
        </w:rPr>
      </w:pPr>
      <w:r w:rsidRPr="008A4AFA">
        <w:rPr>
          <w:rFonts w:ascii="Calibri" w:hAnsi="Calibri" w:cs="Times New Roman"/>
          <w:b/>
          <w:bCs/>
        </w:rPr>
        <w:t>Objectives:</w:t>
      </w:r>
    </w:p>
    <w:p w14:paraId="772ADDC6" w14:textId="77777777" w:rsidR="00700838" w:rsidRPr="008A4AFA" w:rsidRDefault="00700838" w:rsidP="00503257">
      <w:pPr>
        <w:spacing w:after="0" w:line="240" w:lineRule="auto"/>
        <w:jc w:val="both"/>
        <w:rPr>
          <w:rFonts w:ascii="Calibri" w:hAnsi="Calibri" w:cs="Times New Roman"/>
          <w:bCs/>
        </w:rPr>
      </w:pPr>
      <w:r w:rsidRPr="008A4AFA">
        <w:rPr>
          <w:rFonts w:ascii="Calibri" w:hAnsi="Calibri" w:cs="Times New Roman"/>
        </w:rPr>
        <w:t>The objective of the fund is to:</w:t>
      </w:r>
    </w:p>
    <w:p w14:paraId="428AFA9A" w14:textId="77777777" w:rsidR="00700838" w:rsidRPr="008A4AFA" w:rsidRDefault="00700838" w:rsidP="00503257">
      <w:pPr>
        <w:spacing w:after="0" w:line="240" w:lineRule="auto"/>
        <w:jc w:val="both"/>
        <w:rPr>
          <w:rFonts w:ascii="Calibri" w:hAnsi="Calibri" w:cs="Times New Roman"/>
        </w:rPr>
      </w:pPr>
    </w:p>
    <w:p w14:paraId="68BCC195"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Provide superannuation benefits to members and their dependants to meet their retirement needs.</w:t>
      </w:r>
    </w:p>
    <w:p w14:paraId="2C5B5097"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Ensure that appropriate mixes of investments are held by the fund to support these needs</w:t>
      </w:r>
    </w:p>
    <w:p w14:paraId="462F7411"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Ensure the fund has sufficient liquidity at all times to meet all commitments</w:t>
      </w:r>
    </w:p>
    <w:p w14:paraId="25848765"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Maximise the tax effectiveness of fund investments thereby delivering the best long term after tax return for members.</w:t>
      </w:r>
    </w:p>
    <w:p w14:paraId="684AF1A6" w14:textId="77777777" w:rsidR="00700838" w:rsidRPr="008A4AFA" w:rsidRDefault="00700838" w:rsidP="00503257">
      <w:pPr>
        <w:spacing w:after="0" w:line="240" w:lineRule="auto"/>
        <w:jc w:val="both"/>
        <w:rPr>
          <w:rFonts w:ascii="Calibri" w:hAnsi="Calibri" w:cs="Times New Roman"/>
        </w:rPr>
      </w:pPr>
    </w:p>
    <w:p w14:paraId="1E2563D8" w14:textId="02232571" w:rsidR="00700838" w:rsidRPr="008A4AFA" w:rsidRDefault="00700838" w:rsidP="00503257">
      <w:pPr>
        <w:spacing w:after="0" w:line="240" w:lineRule="auto"/>
        <w:rPr>
          <w:rFonts w:ascii="Calibri" w:hAnsi="Calibri" w:cs="Times New Roman"/>
        </w:rPr>
      </w:pPr>
      <w:r w:rsidRPr="008A4AFA">
        <w:rPr>
          <w:rFonts w:ascii="Calibri" w:hAnsi="Calibri" w:cs="Times New Roman"/>
        </w:rPr>
        <w:t xml:space="preserve">The Investment objective of the trustees is to aim to achieve real medium to longer-term growth. In recognition of the </w:t>
      </w:r>
      <w:r w:rsidRPr="008A4AFA">
        <w:rPr>
          <w:rFonts w:ascii="Calibri" w:hAnsi="Calibri" w:cs="Times New Roman"/>
          <w:noProof/>
        </w:rPr>
        <w:t>2021</w:t>
      </w:r>
      <w:r w:rsidRPr="008A4AFA">
        <w:rPr>
          <w:rFonts w:ascii="Calibri" w:hAnsi="Calibri" w:cs="Times New Roman"/>
        </w:rPr>
        <w:t xml:space="preserve"> year investment time frame of members the fund will have a high proportion of growth assets in the portfolio. </w:t>
      </w:r>
    </w:p>
    <w:p w14:paraId="1B741696" w14:textId="77777777" w:rsidR="00700838" w:rsidRPr="008A4AFA" w:rsidRDefault="00700838" w:rsidP="00503257">
      <w:pPr>
        <w:spacing w:after="0" w:line="240" w:lineRule="auto"/>
        <w:jc w:val="both"/>
        <w:rPr>
          <w:rFonts w:ascii="Calibri" w:hAnsi="Calibri" w:cs="Times New Roman"/>
        </w:rPr>
      </w:pPr>
    </w:p>
    <w:p w14:paraId="4F93260C" w14:textId="77777777" w:rsidR="00700838" w:rsidRPr="008A4AFA" w:rsidRDefault="00700838" w:rsidP="00503257">
      <w:pPr>
        <w:spacing w:after="0" w:line="240" w:lineRule="auto"/>
        <w:jc w:val="both"/>
        <w:rPr>
          <w:rFonts w:ascii="Calibri" w:hAnsi="Calibri" w:cs="Times New Roman"/>
          <w:b/>
        </w:rPr>
      </w:pPr>
    </w:p>
    <w:p w14:paraId="5B2784FB" w14:textId="77777777" w:rsidR="00700838" w:rsidRPr="008A4AFA" w:rsidRDefault="00700838" w:rsidP="00503257">
      <w:pPr>
        <w:spacing w:after="0" w:line="240" w:lineRule="auto"/>
        <w:jc w:val="both"/>
        <w:rPr>
          <w:rFonts w:ascii="Calibri" w:hAnsi="Calibri" w:cs="Times New Roman"/>
          <w:b/>
        </w:rPr>
      </w:pPr>
      <w:r w:rsidRPr="008A4AFA">
        <w:rPr>
          <w:rFonts w:ascii="Calibri" w:hAnsi="Calibri" w:cs="Times New Roman"/>
          <w:b/>
        </w:rPr>
        <w:t>Investment Choice:</w:t>
      </w:r>
    </w:p>
    <w:p w14:paraId="16257D3C" w14:textId="77777777" w:rsidR="00700838" w:rsidRPr="008A4AFA" w:rsidRDefault="00700838" w:rsidP="00503257">
      <w:pPr>
        <w:spacing w:after="0" w:line="240" w:lineRule="auto"/>
        <w:jc w:val="both"/>
        <w:rPr>
          <w:rFonts w:ascii="Calibri" w:hAnsi="Calibri" w:cs="Times New Roman"/>
        </w:rPr>
      </w:pPr>
    </w:p>
    <w:p w14:paraId="3742176D" w14:textId="77777777" w:rsidR="00700838" w:rsidRPr="008A4AFA" w:rsidRDefault="00700838" w:rsidP="00503257">
      <w:pPr>
        <w:spacing w:after="0" w:line="240" w:lineRule="auto"/>
        <w:jc w:val="both"/>
        <w:rPr>
          <w:rFonts w:ascii="Calibri" w:hAnsi="Calibri" w:cs="Times New Roman"/>
        </w:rPr>
      </w:pPr>
      <w:r w:rsidRPr="008A4AFA">
        <w:rPr>
          <w:rFonts w:ascii="Calibri" w:hAnsi="Calibri" w:cs="Times New Roman"/>
        </w:rPr>
        <w:t xml:space="preserve">The Trustees have determined the fund’s investments may include but not be limited to all or one of the following: </w:t>
      </w:r>
    </w:p>
    <w:p w14:paraId="7D898603" w14:textId="77777777" w:rsidR="00700838" w:rsidRPr="008A4AFA" w:rsidRDefault="00700838" w:rsidP="00503257">
      <w:pPr>
        <w:spacing w:after="0" w:line="240" w:lineRule="auto"/>
        <w:jc w:val="both"/>
        <w:rPr>
          <w:rFonts w:ascii="Calibri" w:hAnsi="Calibri" w:cs="Times New Roman"/>
        </w:rPr>
      </w:pPr>
    </w:p>
    <w:p w14:paraId="1FE723FE"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Direct equities, stocks and derivatives including participation in dividend reinvestment programs and right issues, including the use of geared instalment warrants:</w:t>
      </w:r>
    </w:p>
    <w:p w14:paraId="015C8757"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Property trusts and associated investments:</w:t>
      </w:r>
    </w:p>
    <w:p w14:paraId="55C0D3B2"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 xml:space="preserve">Managed investments and associated products: </w:t>
      </w:r>
    </w:p>
    <w:p w14:paraId="61862B41"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Direct residential, industrial and commercial property investment including geared property investments purchased using allowable limited recourse borrowing arrangements:</w:t>
      </w:r>
    </w:p>
    <w:p w14:paraId="73364EE0"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Deposits and investments with banks and other financial institution securities including Term Deposits, Debentures, Secured and Unsecured Notes and Bonds:</w:t>
      </w:r>
    </w:p>
    <w:p w14:paraId="23CFCA4F"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Any other investment that the trustees may feel prudent to achieve the objective of the fund.</w:t>
      </w:r>
    </w:p>
    <w:p w14:paraId="75910DF7" w14:textId="77777777" w:rsidR="00700838" w:rsidRPr="008A4AFA" w:rsidRDefault="00700838" w:rsidP="00503257">
      <w:pPr>
        <w:spacing w:after="0" w:line="240" w:lineRule="auto"/>
        <w:jc w:val="both"/>
        <w:rPr>
          <w:rFonts w:ascii="Calibri" w:hAnsi="Calibri" w:cs="Times New Roman"/>
        </w:rPr>
      </w:pPr>
    </w:p>
    <w:p w14:paraId="58D1B1B1" w14:textId="77777777" w:rsidR="00700838" w:rsidRPr="008A4AFA" w:rsidRDefault="00700838" w:rsidP="00503257">
      <w:pPr>
        <w:spacing w:after="0" w:line="240" w:lineRule="auto"/>
        <w:jc w:val="both"/>
        <w:rPr>
          <w:rFonts w:ascii="Calibri" w:hAnsi="Calibri" w:cs="Times New Roman"/>
        </w:rPr>
      </w:pPr>
      <w:r w:rsidRPr="008A4AFA">
        <w:rPr>
          <w:rFonts w:ascii="Calibri" w:hAnsi="Calibri" w:cs="Times New Roman"/>
        </w:rPr>
        <w:t xml:space="preserve">The Trustee may from time to time decide to seek professional advice from Accountants, Solicitors or Financial Planners in the formulation or implementation of this or any future investment strategy. </w:t>
      </w:r>
    </w:p>
    <w:p w14:paraId="7F9AC1F7" w14:textId="77777777" w:rsidR="00700838" w:rsidRPr="008A4AFA" w:rsidRDefault="00700838" w:rsidP="00503257">
      <w:pPr>
        <w:spacing w:after="0" w:line="240" w:lineRule="auto"/>
        <w:jc w:val="both"/>
        <w:rPr>
          <w:rFonts w:ascii="Calibri" w:hAnsi="Calibri" w:cs="Times New Roman"/>
        </w:rPr>
      </w:pPr>
    </w:p>
    <w:p w14:paraId="6F102BCB" w14:textId="77777777" w:rsidR="00700838" w:rsidRPr="008A4AFA" w:rsidRDefault="00700838" w:rsidP="00503257">
      <w:pPr>
        <w:spacing w:after="0" w:line="240" w:lineRule="auto"/>
        <w:jc w:val="both"/>
        <w:rPr>
          <w:rFonts w:ascii="Calibri" w:hAnsi="Calibri" w:cs="Times New Roman"/>
        </w:rPr>
      </w:pPr>
      <w:r w:rsidRPr="008A4AFA">
        <w:rPr>
          <w:rFonts w:ascii="Calibri" w:hAnsi="Calibri" w:cs="Times New Roman"/>
        </w:rPr>
        <w:t>In formulating this strategy the trustees have taken into consideration relevant features of the various investments in accordance with both the fund’s objectives and appropriate legislation.</w:t>
      </w:r>
    </w:p>
    <w:p w14:paraId="5A6D0FBE" w14:textId="77777777" w:rsidR="00700838" w:rsidRPr="008A4AFA" w:rsidRDefault="00700838" w:rsidP="00503257">
      <w:pPr>
        <w:pStyle w:val="NormalWeb"/>
        <w:spacing w:before="0" w:beforeAutospacing="0" w:after="0" w:afterAutospacing="0"/>
        <w:rPr>
          <w:rFonts w:ascii="Calibri" w:hAnsi="Calibri"/>
          <w:sz w:val="22"/>
          <w:szCs w:val="22"/>
        </w:rPr>
      </w:pPr>
    </w:p>
    <w:p w14:paraId="2501D5C0" w14:textId="77777777" w:rsidR="00700838" w:rsidRPr="008A4AFA" w:rsidRDefault="00700838" w:rsidP="00503257">
      <w:pPr>
        <w:pStyle w:val="NormalWeb"/>
        <w:spacing w:before="0" w:beforeAutospacing="0" w:after="0" w:afterAutospacing="0"/>
        <w:rPr>
          <w:rFonts w:ascii="Calibri" w:hAnsi="Calibri"/>
          <w:sz w:val="22"/>
          <w:szCs w:val="22"/>
        </w:rPr>
      </w:pPr>
      <w:r w:rsidRPr="008A4AFA">
        <w:rPr>
          <w:rFonts w:ascii="Calibri" w:hAnsi="Calibri"/>
          <w:sz w:val="22"/>
          <w:szCs w:val="22"/>
        </w:rPr>
        <w:t>In drafting this investment strategy, the trustees have taken into account all of the circumstances of the fund, including:</w:t>
      </w:r>
    </w:p>
    <w:p w14:paraId="5271E58A" w14:textId="77777777" w:rsidR="00700838" w:rsidRPr="008A4AFA" w:rsidRDefault="00700838" w:rsidP="00503257">
      <w:pPr>
        <w:pStyle w:val="NormalWeb"/>
        <w:spacing w:before="0" w:beforeAutospacing="0" w:after="0" w:afterAutospacing="0"/>
        <w:rPr>
          <w:rFonts w:ascii="Calibri" w:hAnsi="Calibri"/>
          <w:sz w:val="22"/>
          <w:szCs w:val="22"/>
        </w:rPr>
      </w:pPr>
    </w:p>
    <w:p w14:paraId="767FC136"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the risks and likely return associated with each investment;</w:t>
      </w:r>
    </w:p>
    <w:p w14:paraId="1E242BE8"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the range and diversity of investments held by the fund;</w:t>
      </w:r>
    </w:p>
    <w:p w14:paraId="6CB51D59"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lastRenderedPageBreak/>
        <w:t>any risks coming from limited diversification;</w:t>
      </w:r>
    </w:p>
    <w:p w14:paraId="7B33D6C4"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the liquidity of the fund’s investments;</w:t>
      </w:r>
    </w:p>
    <w:p w14:paraId="0EC30BBA"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the ages and preferences of its members;</w:t>
      </w:r>
    </w:p>
    <w:p w14:paraId="6BA58F0C"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expected cash flow requirements; and</w:t>
      </w:r>
    </w:p>
    <w:p w14:paraId="496DAD34"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the ability of the fund to meet its existing and prospective liabilities such as paying benefits to its members.</w:t>
      </w:r>
    </w:p>
    <w:p w14:paraId="0F9A88D3" w14:textId="77777777" w:rsidR="00700838" w:rsidRPr="008A4AFA" w:rsidRDefault="00700838" w:rsidP="00503257">
      <w:pPr>
        <w:spacing w:after="0" w:line="240" w:lineRule="auto"/>
        <w:jc w:val="both"/>
        <w:rPr>
          <w:rFonts w:ascii="Calibri" w:hAnsi="Calibri" w:cs="Times New Roman"/>
          <w:b/>
        </w:rPr>
      </w:pPr>
    </w:p>
    <w:p w14:paraId="367FAD77" w14:textId="77777777" w:rsidR="00700838" w:rsidRPr="008A4AFA" w:rsidRDefault="00700838" w:rsidP="00503257">
      <w:pPr>
        <w:spacing w:after="0" w:line="240" w:lineRule="auto"/>
        <w:jc w:val="both"/>
        <w:rPr>
          <w:rFonts w:ascii="Calibri" w:hAnsi="Calibri" w:cs="Times New Roman"/>
          <w:b/>
          <w:bCs/>
        </w:rPr>
      </w:pPr>
    </w:p>
    <w:p w14:paraId="5B2E8B84" w14:textId="77777777" w:rsidR="00700838" w:rsidRPr="008A4AFA" w:rsidRDefault="00700838" w:rsidP="00503257">
      <w:pPr>
        <w:spacing w:after="0" w:line="240" w:lineRule="auto"/>
        <w:jc w:val="both"/>
        <w:rPr>
          <w:rFonts w:ascii="Calibri" w:hAnsi="Calibri" w:cs="Times New Roman"/>
          <w:b/>
          <w:bCs/>
        </w:rPr>
      </w:pPr>
      <w:r w:rsidRPr="008A4AFA">
        <w:rPr>
          <w:rFonts w:ascii="Calibri" w:hAnsi="Calibri" w:cs="Times New Roman"/>
          <w:b/>
          <w:bCs/>
        </w:rPr>
        <w:t>Policies:</w:t>
      </w:r>
    </w:p>
    <w:p w14:paraId="23AB2644" w14:textId="77777777" w:rsidR="00700838" w:rsidRPr="008A4AFA" w:rsidRDefault="00700838" w:rsidP="00503257">
      <w:pPr>
        <w:pStyle w:val="BodyTextIndent"/>
        <w:spacing w:before="0" w:after="0" w:line="240" w:lineRule="auto"/>
        <w:rPr>
          <w:rFonts w:ascii="Calibri" w:hAnsi="Calibri" w:cs="Times New Roman"/>
          <w:sz w:val="22"/>
        </w:rPr>
      </w:pPr>
      <w:r w:rsidRPr="008A4AFA">
        <w:rPr>
          <w:rFonts w:ascii="Calibri" w:hAnsi="Calibri" w:cs="Times New Roman"/>
          <w:sz w:val="22"/>
        </w:rPr>
        <w:t xml:space="preserve">The policies adopted by the Trustees in order to achieve these objectives are: </w:t>
      </w:r>
    </w:p>
    <w:p w14:paraId="77E7B3F9" w14:textId="77777777" w:rsidR="00700838" w:rsidRPr="008A4AFA" w:rsidRDefault="00700838" w:rsidP="00503257">
      <w:pPr>
        <w:pStyle w:val="BodyTextIndent"/>
        <w:spacing w:before="0" w:after="0" w:line="240" w:lineRule="auto"/>
        <w:rPr>
          <w:rFonts w:ascii="Calibri" w:hAnsi="Calibri" w:cs="Times New Roman"/>
          <w:sz w:val="22"/>
        </w:rPr>
      </w:pPr>
    </w:p>
    <w:p w14:paraId="0EF05D48"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Regular monitoring of the performance of the fund’s investments, the overall investment mix and the expected cash flow requirements of the fund.</w:t>
      </w:r>
    </w:p>
    <w:p w14:paraId="36375685"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Re-balancing the fund’s investment portfolio due to changes in market conditions through asset sales and new investments as appropriate.</w:t>
      </w:r>
    </w:p>
    <w:p w14:paraId="03FEEB1C" w14:textId="77777777" w:rsidR="00700838" w:rsidRPr="008A4AFA" w:rsidRDefault="00700838" w:rsidP="00503257">
      <w:pPr>
        <w:spacing w:after="0" w:line="240" w:lineRule="auto"/>
        <w:jc w:val="both"/>
        <w:rPr>
          <w:rFonts w:ascii="Calibri" w:hAnsi="Calibri" w:cs="Times New Roman"/>
        </w:rPr>
      </w:pPr>
    </w:p>
    <w:p w14:paraId="658E4CE3" w14:textId="77777777" w:rsidR="00700838" w:rsidRPr="008A4AFA" w:rsidRDefault="00700838" w:rsidP="00503257">
      <w:pPr>
        <w:pStyle w:val="BodyTextIndent"/>
        <w:spacing w:before="0" w:after="0" w:line="240" w:lineRule="auto"/>
        <w:rPr>
          <w:rFonts w:ascii="Calibri" w:hAnsi="Calibri" w:cs="Times New Roman"/>
          <w:i w:val="0"/>
          <w:sz w:val="22"/>
        </w:rPr>
      </w:pPr>
      <w:r w:rsidRPr="008A4AFA">
        <w:rPr>
          <w:rFonts w:ascii="Calibri" w:hAnsi="Calibri" w:cs="Times New Roman"/>
          <w:i w:val="0"/>
          <w:sz w:val="22"/>
        </w:rPr>
        <w:t>The Trustees will aim to follow the investment strategy, however, they will at all times reserve the right to change the investment mix depending on the market situation and opportunities available to better meet the objectives of the fund.</w:t>
      </w:r>
    </w:p>
    <w:p w14:paraId="1F2897C1" w14:textId="77777777" w:rsidR="00700838" w:rsidRPr="008A4AFA" w:rsidRDefault="00700838" w:rsidP="00503257">
      <w:pPr>
        <w:spacing w:after="0" w:line="240" w:lineRule="auto"/>
        <w:jc w:val="both"/>
        <w:rPr>
          <w:rFonts w:ascii="Calibri" w:hAnsi="Calibri" w:cs="Times New Roman"/>
        </w:rPr>
      </w:pPr>
    </w:p>
    <w:p w14:paraId="7352812E" w14:textId="77777777" w:rsidR="00700838" w:rsidRPr="008A4AFA" w:rsidRDefault="00700838" w:rsidP="00503257">
      <w:pPr>
        <w:pStyle w:val="BodyText3"/>
        <w:spacing w:before="0" w:after="0" w:line="240" w:lineRule="auto"/>
        <w:rPr>
          <w:rFonts w:ascii="Calibri" w:hAnsi="Calibri" w:cs="Times New Roman"/>
          <w:sz w:val="22"/>
          <w:szCs w:val="22"/>
        </w:rPr>
      </w:pPr>
      <w:r w:rsidRPr="008A4AFA">
        <w:rPr>
          <w:rFonts w:ascii="Calibri" w:hAnsi="Calibri" w:cs="Times New Roman"/>
          <w:sz w:val="22"/>
          <w:szCs w:val="22"/>
        </w:rPr>
        <w:t>A copy of the Investment Strategy of the fund will be available to members of the fund on request.</w:t>
      </w:r>
    </w:p>
    <w:p w14:paraId="3F32B926" w14:textId="77777777" w:rsidR="00700838" w:rsidRPr="008A4AFA" w:rsidRDefault="00700838" w:rsidP="00503257">
      <w:pPr>
        <w:pStyle w:val="BodyText3"/>
        <w:spacing w:before="0" w:after="0" w:line="240" w:lineRule="auto"/>
        <w:rPr>
          <w:rFonts w:ascii="Calibri" w:hAnsi="Calibri" w:cs="Times New Roman"/>
          <w:sz w:val="22"/>
          <w:szCs w:val="22"/>
        </w:rPr>
      </w:pPr>
    </w:p>
    <w:p w14:paraId="17F5AEF7" w14:textId="77777777" w:rsidR="00700838" w:rsidRPr="008A4AFA" w:rsidRDefault="00700838" w:rsidP="00503257">
      <w:pPr>
        <w:spacing w:after="0" w:line="240" w:lineRule="auto"/>
        <w:jc w:val="both"/>
        <w:rPr>
          <w:rFonts w:ascii="Calibri" w:hAnsi="Calibri" w:cs="Times New Roman"/>
          <w:b/>
        </w:rPr>
      </w:pPr>
    </w:p>
    <w:p w14:paraId="4745EA22" w14:textId="77777777" w:rsidR="00700838" w:rsidRPr="008A4AFA" w:rsidRDefault="00700838" w:rsidP="00503257">
      <w:pPr>
        <w:spacing w:after="0" w:line="240" w:lineRule="auto"/>
        <w:jc w:val="both"/>
        <w:rPr>
          <w:rFonts w:ascii="Calibri" w:hAnsi="Calibri" w:cs="Times New Roman"/>
          <w:b/>
          <w:bCs/>
        </w:rPr>
      </w:pPr>
      <w:r w:rsidRPr="008A4AFA">
        <w:rPr>
          <w:rFonts w:ascii="Calibri" w:hAnsi="Calibri" w:cs="Times New Roman"/>
          <w:b/>
          <w:bCs/>
        </w:rPr>
        <w:t>Risk profile and risk tolerance:</w:t>
      </w:r>
    </w:p>
    <w:p w14:paraId="6034013A" w14:textId="1297212F" w:rsidR="00700838" w:rsidRPr="008A4AFA" w:rsidRDefault="00700838" w:rsidP="00503257">
      <w:pPr>
        <w:pStyle w:val="BodyTextIndent"/>
        <w:spacing w:before="0" w:after="0" w:line="240" w:lineRule="auto"/>
        <w:rPr>
          <w:rFonts w:ascii="Calibri" w:hAnsi="Calibri" w:cs="Times New Roman"/>
          <w:i w:val="0"/>
          <w:sz w:val="22"/>
        </w:rPr>
      </w:pPr>
      <w:r w:rsidRPr="008A4AFA">
        <w:rPr>
          <w:rFonts w:ascii="Calibri" w:hAnsi="Calibri" w:cs="Times New Roman"/>
          <w:i w:val="0"/>
          <w:sz w:val="22"/>
        </w:rPr>
        <w:t>The Fund has a short</w:t>
      </w:r>
      <w:r w:rsidR="0029753C" w:rsidRPr="008A4AFA">
        <w:rPr>
          <w:rFonts w:ascii="Calibri" w:hAnsi="Calibri" w:cs="Times New Roman"/>
          <w:i w:val="0"/>
          <w:sz w:val="22"/>
        </w:rPr>
        <w:t xml:space="preserve"> and </w:t>
      </w:r>
      <w:r w:rsidRPr="008A4AFA">
        <w:rPr>
          <w:rFonts w:ascii="Calibri" w:hAnsi="Calibri" w:cs="Times New Roman"/>
          <w:i w:val="0"/>
          <w:sz w:val="22"/>
        </w:rPr>
        <w:t xml:space="preserve">long time horizon. Further the members are prepared to endure a reasonable level of volatility of returns in expectation of long term growth/the Members wish to have a conservative asset allocation thereby limiting volatility of returns. </w:t>
      </w:r>
    </w:p>
    <w:p w14:paraId="461FF6F8" w14:textId="77777777" w:rsidR="00700838" w:rsidRPr="008A4AFA" w:rsidRDefault="00700838" w:rsidP="00503257">
      <w:pPr>
        <w:pStyle w:val="BodyTextIndent"/>
        <w:spacing w:before="0" w:after="0" w:line="240" w:lineRule="auto"/>
        <w:rPr>
          <w:rFonts w:ascii="Calibri" w:hAnsi="Calibri" w:cs="Times New Roman"/>
          <w:i w:val="0"/>
          <w:sz w:val="22"/>
        </w:rPr>
      </w:pPr>
      <w:r w:rsidRPr="008A4AFA">
        <w:rPr>
          <w:rFonts w:ascii="Calibri" w:hAnsi="Calibri" w:cs="Times New Roman"/>
          <w:i w:val="0"/>
          <w:sz w:val="22"/>
        </w:rPr>
        <w:t>The members have existing equity and property investments outside superannuation and are familiar with the variability of both returns and capital values which are associated with such investments.</w:t>
      </w:r>
    </w:p>
    <w:p w14:paraId="53526D52" w14:textId="77777777" w:rsidR="00700838" w:rsidRPr="008A4AFA" w:rsidRDefault="00700838" w:rsidP="00503257">
      <w:pPr>
        <w:pStyle w:val="BodyTextIndent"/>
        <w:spacing w:before="0" w:after="0" w:line="240" w:lineRule="auto"/>
        <w:rPr>
          <w:rFonts w:ascii="Calibri" w:hAnsi="Calibri" w:cs="Times New Roman"/>
          <w:i w:val="0"/>
          <w:sz w:val="22"/>
        </w:rPr>
      </w:pPr>
    </w:p>
    <w:p w14:paraId="1C38CBD7" w14:textId="77777777" w:rsidR="00700838" w:rsidRPr="008A4AFA" w:rsidRDefault="00700838" w:rsidP="00503257">
      <w:pPr>
        <w:pStyle w:val="BodyTextIndent"/>
        <w:spacing w:before="0" w:after="0" w:line="240" w:lineRule="auto"/>
        <w:rPr>
          <w:rFonts w:ascii="Calibri" w:hAnsi="Calibri" w:cs="Times New Roman"/>
          <w:i w:val="0"/>
          <w:sz w:val="22"/>
        </w:rPr>
      </w:pPr>
      <w:r w:rsidRPr="008A4AFA">
        <w:rPr>
          <w:rFonts w:ascii="Calibri" w:hAnsi="Calibri" w:cs="Times New Roman"/>
          <w:i w:val="0"/>
          <w:sz w:val="22"/>
        </w:rPr>
        <w:t xml:space="preserve">Members understand </w:t>
      </w:r>
    </w:p>
    <w:p w14:paraId="49F0C3E8" w14:textId="2ACDE593"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the trade-off between investment risk and long term capital and income growth and have indicated asset growth is a priority.</w:t>
      </w:r>
    </w:p>
    <w:p w14:paraId="34987C17"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Investment risk is borne by the members, as fluctuations in investment returns will affect the level of benefits available to members.</w:t>
      </w:r>
    </w:p>
    <w:p w14:paraId="58DD4BE8" w14:textId="77777777" w:rsidR="00700838" w:rsidRPr="008A4AFA" w:rsidRDefault="00700838" w:rsidP="00503257">
      <w:pPr>
        <w:tabs>
          <w:tab w:val="left" w:pos="720"/>
        </w:tabs>
        <w:spacing w:after="0" w:line="240" w:lineRule="auto"/>
        <w:jc w:val="both"/>
        <w:rPr>
          <w:rFonts w:ascii="Calibri" w:hAnsi="Calibri" w:cs="Times New Roman"/>
        </w:rPr>
      </w:pPr>
    </w:p>
    <w:p w14:paraId="3CB5DD0C" w14:textId="77777777" w:rsidR="00700838" w:rsidRPr="008A4AFA" w:rsidRDefault="00700838" w:rsidP="00503257">
      <w:pPr>
        <w:tabs>
          <w:tab w:val="left" w:pos="720"/>
        </w:tabs>
        <w:spacing w:after="0" w:line="240" w:lineRule="auto"/>
        <w:rPr>
          <w:rFonts w:ascii="Calibri" w:hAnsi="Calibri" w:cs="Times New Roman"/>
          <w:b/>
        </w:rPr>
      </w:pPr>
      <w:r w:rsidRPr="008A4AFA">
        <w:rPr>
          <w:rFonts w:ascii="Calibri" w:hAnsi="Calibri" w:cs="Times New Roman"/>
          <w:b/>
        </w:rPr>
        <w:t>Geared Investments</w:t>
      </w:r>
    </w:p>
    <w:p w14:paraId="4BBB7501" w14:textId="19D3F40E" w:rsidR="00700838" w:rsidRPr="008A4AFA" w:rsidRDefault="00700838" w:rsidP="00503257">
      <w:pPr>
        <w:tabs>
          <w:tab w:val="left" w:pos="720"/>
        </w:tabs>
        <w:spacing w:after="0" w:line="240" w:lineRule="auto"/>
        <w:rPr>
          <w:rFonts w:ascii="Calibri" w:hAnsi="Calibri" w:cs="Times New Roman"/>
        </w:rPr>
      </w:pPr>
      <w:r w:rsidRPr="008A4AFA">
        <w:rPr>
          <w:rFonts w:ascii="Calibri" w:hAnsi="Calibri" w:cs="Times New Roman"/>
        </w:rPr>
        <w:t xml:space="preserve">The Trustees have elected to purchase direct </w:t>
      </w:r>
      <w:r w:rsidR="0029753C" w:rsidRPr="008A4AFA">
        <w:rPr>
          <w:rFonts w:ascii="Calibri" w:hAnsi="Calibri" w:cs="Times New Roman"/>
        </w:rPr>
        <w:t xml:space="preserve">commercial </w:t>
      </w:r>
      <w:r w:rsidRPr="008A4AFA">
        <w:rPr>
          <w:rFonts w:ascii="Calibri" w:hAnsi="Calibri" w:cs="Times New Roman"/>
        </w:rPr>
        <w:t xml:space="preserve"> property using limited recourse borrowing arrangements. The Trustees have indicated they understand and are prepared to accept the increased volatility of returns associated with borrowing to invest, including the risk of loss, including the risk of total loss of invested assets where such assets are subject to limited recourse borrowing arrangements</w:t>
      </w:r>
      <w:r w:rsidR="0029753C" w:rsidRPr="008A4AFA">
        <w:rPr>
          <w:rFonts w:ascii="Calibri" w:hAnsi="Calibri" w:cs="Times New Roman"/>
        </w:rPr>
        <w:t xml:space="preserve">. </w:t>
      </w:r>
    </w:p>
    <w:p w14:paraId="718476B6" w14:textId="77777777" w:rsidR="00700838" w:rsidRPr="008A4AFA" w:rsidRDefault="00700838" w:rsidP="00503257">
      <w:pPr>
        <w:spacing w:after="0" w:line="240" w:lineRule="auto"/>
        <w:jc w:val="both"/>
        <w:rPr>
          <w:rFonts w:ascii="Calibri" w:hAnsi="Calibri" w:cs="Times New Roman"/>
          <w:b/>
          <w:bCs/>
        </w:rPr>
      </w:pPr>
    </w:p>
    <w:p w14:paraId="01CB0BAC" w14:textId="77777777" w:rsidR="00700838" w:rsidRPr="008A4AFA" w:rsidRDefault="00700838" w:rsidP="00503257">
      <w:pPr>
        <w:spacing w:after="0" w:line="240" w:lineRule="auto"/>
        <w:jc w:val="both"/>
        <w:rPr>
          <w:rFonts w:ascii="Calibri" w:hAnsi="Calibri" w:cs="Times New Roman"/>
          <w:b/>
          <w:bCs/>
        </w:rPr>
      </w:pPr>
      <w:r w:rsidRPr="008A4AFA">
        <w:rPr>
          <w:rFonts w:ascii="Calibri" w:hAnsi="Calibri" w:cs="Times New Roman"/>
          <w:b/>
          <w:bCs/>
        </w:rPr>
        <w:t>Insurance:</w:t>
      </w:r>
    </w:p>
    <w:p w14:paraId="658B7A28" w14:textId="77777777" w:rsidR="00700838" w:rsidRPr="008A4AFA" w:rsidRDefault="00700838" w:rsidP="00503257">
      <w:pPr>
        <w:pStyle w:val="BodyTextIndent"/>
        <w:spacing w:before="0" w:after="0" w:line="240" w:lineRule="auto"/>
        <w:rPr>
          <w:rFonts w:ascii="Calibri" w:hAnsi="Calibri" w:cs="Times New Roman"/>
          <w:i w:val="0"/>
          <w:sz w:val="22"/>
        </w:rPr>
      </w:pPr>
    </w:p>
    <w:p w14:paraId="7D6C4996" w14:textId="77777777" w:rsidR="0029753C" w:rsidRPr="008A4AFA" w:rsidRDefault="00700838" w:rsidP="0029753C">
      <w:pPr>
        <w:spacing w:after="0" w:line="240" w:lineRule="auto"/>
        <w:jc w:val="both"/>
        <w:rPr>
          <w:rFonts w:ascii="Calibri" w:hAnsi="Calibri" w:cs="Times New Roman"/>
        </w:rPr>
      </w:pPr>
      <w:r w:rsidRPr="008A4AFA">
        <w:rPr>
          <w:rFonts w:ascii="Calibri" w:hAnsi="Calibri" w:cs="Times New Roman"/>
        </w:rPr>
        <w:t>The Trustees have considered whether the Fund should hold a contract of insurance for its members and concluded that</w:t>
      </w:r>
    </w:p>
    <w:p w14:paraId="3B6043F2" w14:textId="77777777" w:rsidR="00700838" w:rsidRPr="008A4AFA" w:rsidRDefault="00700838" w:rsidP="00503257">
      <w:pPr>
        <w:numPr>
          <w:ilvl w:val="0"/>
          <w:numId w:val="1"/>
        </w:numPr>
        <w:tabs>
          <w:tab w:val="left" w:pos="720"/>
          <w:tab w:val="left" w:pos="851"/>
          <w:tab w:val="left" w:pos="1701"/>
          <w:tab w:val="left" w:pos="2552"/>
        </w:tabs>
        <w:spacing w:after="0" w:line="240" w:lineRule="auto"/>
        <w:ind w:left="567"/>
        <w:jc w:val="both"/>
        <w:rPr>
          <w:rFonts w:ascii="Calibri" w:hAnsi="Calibri" w:cs="Times New Roman"/>
        </w:rPr>
      </w:pPr>
      <w:r w:rsidRPr="008A4AFA">
        <w:rPr>
          <w:rFonts w:ascii="Calibri" w:hAnsi="Calibri" w:cs="Times New Roman"/>
        </w:rPr>
        <w:t>Additional insurance is not deemed appropriate as the members have significant assets inside and outside superannuation with no significant outstanding liabilities</w:t>
      </w:r>
    </w:p>
    <w:p w14:paraId="20A41EA7" w14:textId="77777777" w:rsidR="00700838" w:rsidRPr="008A4AFA" w:rsidRDefault="00700838" w:rsidP="00503257">
      <w:pPr>
        <w:spacing w:after="0" w:line="240" w:lineRule="auto"/>
        <w:jc w:val="both"/>
        <w:rPr>
          <w:rFonts w:ascii="Calibri" w:hAnsi="Calibri" w:cs="Times New Roman"/>
          <w:b/>
        </w:rPr>
      </w:pPr>
    </w:p>
    <w:p w14:paraId="1F06860A" w14:textId="4A14A2EF" w:rsidR="00700838" w:rsidRPr="008A4AFA" w:rsidRDefault="00700838" w:rsidP="00503257">
      <w:pPr>
        <w:spacing w:after="0" w:line="240" w:lineRule="auto"/>
        <w:jc w:val="both"/>
        <w:rPr>
          <w:rFonts w:ascii="Calibri" w:hAnsi="Calibri" w:cs="Times New Roman"/>
          <w:b/>
        </w:rPr>
      </w:pPr>
    </w:p>
    <w:p w14:paraId="14BB8FC1" w14:textId="7A86AC49" w:rsidR="008A4AFA" w:rsidRPr="008A4AFA" w:rsidRDefault="008A4AFA" w:rsidP="00503257">
      <w:pPr>
        <w:spacing w:after="0" w:line="240" w:lineRule="auto"/>
        <w:jc w:val="both"/>
        <w:rPr>
          <w:rFonts w:ascii="Calibri" w:hAnsi="Calibri" w:cs="Times New Roman"/>
          <w:b/>
        </w:rPr>
      </w:pPr>
    </w:p>
    <w:p w14:paraId="1B8C702C" w14:textId="75B80100" w:rsidR="008A4AFA" w:rsidRPr="008A4AFA" w:rsidRDefault="008A4AFA" w:rsidP="00503257">
      <w:pPr>
        <w:spacing w:after="0" w:line="240" w:lineRule="auto"/>
        <w:jc w:val="both"/>
        <w:rPr>
          <w:rFonts w:ascii="Calibri" w:hAnsi="Calibri" w:cs="Times New Roman"/>
          <w:b/>
        </w:rPr>
      </w:pPr>
    </w:p>
    <w:p w14:paraId="2F0B65F8" w14:textId="77777777" w:rsidR="008A4AFA" w:rsidRPr="008A4AFA" w:rsidRDefault="008A4AFA" w:rsidP="00503257">
      <w:pPr>
        <w:spacing w:after="0" w:line="240" w:lineRule="auto"/>
        <w:jc w:val="both"/>
        <w:rPr>
          <w:rFonts w:ascii="Calibri" w:hAnsi="Calibri" w:cs="Times New Roman"/>
          <w:b/>
        </w:rPr>
      </w:pPr>
    </w:p>
    <w:p w14:paraId="5850F99C" w14:textId="77777777" w:rsidR="00700838" w:rsidRPr="008A4AFA" w:rsidRDefault="00700838" w:rsidP="00503257">
      <w:pPr>
        <w:spacing w:after="0" w:line="240" w:lineRule="auto"/>
        <w:jc w:val="both"/>
        <w:rPr>
          <w:rFonts w:ascii="Calibri" w:hAnsi="Calibri" w:cs="Times New Roman"/>
          <w:b/>
          <w:bCs/>
        </w:rPr>
      </w:pPr>
      <w:r w:rsidRPr="008A4AFA">
        <w:rPr>
          <w:rFonts w:ascii="Calibri" w:hAnsi="Calibri" w:cs="Times New Roman"/>
          <w:b/>
          <w:bCs/>
        </w:rPr>
        <w:t>Asset Allocation:</w:t>
      </w:r>
    </w:p>
    <w:p w14:paraId="5E3DEEC0" w14:textId="700EEDCC" w:rsidR="00700838" w:rsidRPr="008A4AFA" w:rsidRDefault="00700838" w:rsidP="008A4AFA">
      <w:pPr>
        <w:pStyle w:val="BodyTextIndent"/>
        <w:spacing w:before="0" w:after="0" w:line="240" w:lineRule="auto"/>
        <w:rPr>
          <w:rFonts w:ascii="Calibri" w:hAnsi="Calibri" w:cs="Times New Roman"/>
          <w:b/>
          <w:sz w:val="22"/>
        </w:rPr>
      </w:pPr>
    </w:p>
    <w:p w14:paraId="08FD2E2B" w14:textId="77777777" w:rsidR="00700838" w:rsidRPr="008A4AFA" w:rsidRDefault="00700838" w:rsidP="00503257">
      <w:pPr>
        <w:pStyle w:val="BodyTextIndent"/>
        <w:spacing w:before="0" w:after="0" w:line="240" w:lineRule="auto"/>
        <w:ind w:left="2160"/>
        <w:rPr>
          <w:rFonts w:ascii="Calibri" w:hAnsi="Calibri" w:cs="Times New Roman"/>
          <w:i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2306"/>
      </w:tblGrid>
      <w:tr w:rsidR="008A4AFA" w:rsidRPr="008A4AFA" w14:paraId="6F1980E0" w14:textId="77777777" w:rsidTr="008A4AFA">
        <w:tc>
          <w:tcPr>
            <w:tcW w:w="4623" w:type="dxa"/>
            <w:tcBorders>
              <w:top w:val="single" w:sz="4" w:space="0" w:color="auto"/>
              <w:left w:val="single" w:sz="4" w:space="0" w:color="auto"/>
              <w:bottom w:val="single" w:sz="4" w:space="0" w:color="auto"/>
              <w:right w:val="single" w:sz="4" w:space="0" w:color="auto"/>
            </w:tcBorders>
            <w:hideMark/>
          </w:tcPr>
          <w:p w14:paraId="73E0E91B" w14:textId="77777777" w:rsidR="008A4AFA" w:rsidRPr="008A4AFA" w:rsidRDefault="008A4AFA">
            <w:pPr>
              <w:pStyle w:val="BodyTextIndent"/>
              <w:spacing w:before="0" w:after="0" w:line="240" w:lineRule="auto"/>
              <w:rPr>
                <w:rFonts w:ascii="Calibri" w:hAnsi="Calibri" w:cs="Times New Roman"/>
                <w:b/>
                <w:i w:val="0"/>
                <w:sz w:val="22"/>
              </w:rPr>
            </w:pPr>
            <w:r w:rsidRPr="008A4AFA">
              <w:rPr>
                <w:rFonts w:ascii="Calibri" w:hAnsi="Calibri" w:cs="Times New Roman"/>
                <w:b/>
                <w:i w:val="0"/>
                <w:sz w:val="22"/>
              </w:rPr>
              <w:t>Growth Assets</w:t>
            </w:r>
          </w:p>
        </w:tc>
        <w:tc>
          <w:tcPr>
            <w:tcW w:w="2306" w:type="dxa"/>
            <w:tcBorders>
              <w:top w:val="single" w:sz="4" w:space="0" w:color="auto"/>
              <w:left w:val="single" w:sz="4" w:space="0" w:color="auto"/>
              <w:bottom w:val="single" w:sz="4" w:space="0" w:color="FF0000"/>
              <w:right w:val="single" w:sz="4" w:space="0" w:color="auto"/>
            </w:tcBorders>
            <w:hideMark/>
          </w:tcPr>
          <w:p w14:paraId="165BA793" w14:textId="77777777" w:rsidR="008A4AFA" w:rsidRPr="008A4AFA" w:rsidRDefault="008A4AFA">
            <w:pPr>
              <w:pStyle w:val="BodyTextIndent"/>
              <w:spacing w:before="0" w:after="0" w:line="240" w:lineRule="auto"/>
              <w:jc w:val="center"/>
              <w:rPr>
                <w:rFonts w:ascii="Calibri" w:hAnsi="Calibri" w:cs="Times New Roman"/>
                <w:b/>
                <w:i w:val="0"/>
                <w:sz w:val="22"/>
              </w:rPr>
            </w:pPr>
            <w:r w:rsidRPr="008A4AFA">
              <w:rPr>
                <w:rFonts w:ascii="Calibri" w:hAnsi="Calibri" w:cs="Times New Roman"/>
                <w:b/>
                <w:i w:val="0"/>
                <w:sz w:val="22"/>
              </w:rPr>
              <w:t>Long term range</w:t>
            </w:r>
          </w:p>
        </w:tc>
      </w:tr>
      <w:tr w:rsidR="008A4AFA" w:rsidRPr="008A4AFA" w14:paraId="30F92AAA" w14:textId="77777777" w:rsidTr="008A4AFA">
        <w:tc>
          <w:tcPr>
            <w:tcW w:w="4623" w:type="dxa"/>
            <w:tcBorders>
              <w:top w:val="single" w:sz="4" w:space="0" w:color="auto"/>
              <w:left w:val="single" w:sz="4" w:space="0" w:color="auto"/>
              <w:bottom w:val="single" w:sz="4" w:space="0" w:color="auto"/>
              <w:right w:val="single" w:sz="4" w:space="0" w:color="FF0000"/>
            </w:tcBorders>
            <w:hideMark/>
          </w:tcPr>
          <w:p w14:paraId="04455372" w14:textId="77777777" w:rsidR="008A4AFA" w:rsidRPr="008A4AFA" w:rsidRDefault="008A4AFA" w:rsidP="00FF1A3D">
            <w:pPr>
              <w:pStyle w:val="BodyTextIndent"/>
              <w:numPr>
                <w:ilvl w:val="0"/>
                <w:numId w:val="2"/>
              </w:numPr>
              <w:spacing w:before="0" w:after="0" w:line="240" w:lineRule="auto"/>
              <w:rPr>
                <w:rFonts w:ascii="Calibri" w:hAnsi="Calibri" w:cs="Times New Roman"/>
                <w:i w:val="0"/>
                <w:sz w:val="22"/>
              </w:rPr>
            </w:pPr>
            <w:r w:rsidRPr="008A4AFA">
              <w:rPr>
                <w:rFonts w:ascii="Calibri" w:hAnsi="Calibri" w:cs="Times New Roman"/>
                <w:i w:val="0"/>
                <w:sz w:val="22"/>
              </w:rPr>
              <w:t>Australian listed equities</w:t>
            </w:r>
          </w:p>
        </w:tc>
        <w:tc>
          <w:tcPr>
            <w:tcW w:w="2306" w:type="dxa"/>
            <w:tcBorders>
              <w:top w:val="single" w:sz="4" w:space="0" w:color="FF0000"/>
              <w:left w:val="single" w:sz="4" w:space="0" w:color="FF0000"/>
              <w:bottom w:val="single" w:sz="4" w:space="0" w:color="FF0000"/>
              <w:right w:val="single" w:sz="4" w:space="0" w:color="FF0000"/>
            </w:tcBorders>
          </w:tcPr>
          <w:p w14:paraId="729EDCDB" w14:textId="61E670C9" w:rsidR="008A4AFA" w:rsidRPr="008A4AFA" w:rsidRDefault="008A4AFA">
            <w:pPr>
              <w:pStyle w:val="BodyTextIndent"/>
              <w:spacing w:before="0" w:after="0" w:line="240" w:lineRule="auto"/>
              <w:jc w:val="center"/>
              <w:rPr>
                <w:rFonts w:ascii="Calibri" w:hAnsi="Calibri" w:cs="Times New Roman"/>
                <w:i w:val="0"/>
                <w:sz w:val="22"/>
              </w:rPr>
            </w:pPr>
            <w:r w:rsidRPr="008A4AFA">
              <w:rPr>
                <w:rFonts w:ascii="Calibri" w:hAnsi="Calibri" w:cs="Times New Roman"/>
                <w:i w:val="0"/>
                <w:sz w:val="22"/>
              </w:rPr>
              <w:t>0% - 20%</w:t>
            </w:r>
          </w:p>
        </w:tc>
      </w:tr>
      <w:tr w:rsidR="008A4AFA" w:rsidRPr="008A4AFA" w14:paraId="331F0E48" w14:textId="77777777" w:rsidTr="008A4AFA">
        <w:tc>
          <w:tcPr>
            <w:tcW w:w="4623" w:type="dxa"/>
            <w:tcBorders>
              <w:top w:val="single" w:sz="4" w:space="0" w:color="auto"/>
              <w:left w:val="single" w:sz="4" w:space="0" w:color="auto"/>
              <w:bottom w:val="single" w:sz="4" w:space="0" w:color="auto"/>
              <w:right w:val="single" w:sz="4" w:space="0" w:color="FF0000"/>
            </w:tcBorders>
            <w:hideMark/>
          </w:tcPr>
          <w:p w14:paraId="61E6778D" w14:textId="77777777" w:rsidR="008A4AFA" w:rsidRPr="008A4AFA" w:rsidRDefault="008A4AFA" w:rsidP="00FF1A3D">
            <w:pPr>
              <w:pStyle w:val="BodyTextIndent"/>
              <w:numPr>
                <w:ilvl w:val="0"/>
                <w:numId w:val="2"/>
              </w:numPr>
              <w:spacing w:before="0" w:after="0" w:line="240" w:lineRule="auto"/>
              <w:rPr>
                <w:rFonts w:ascii="Calibri" w:hAnsi="Calibri" w:cs="Times New Roman"/>
                <w:i w:val="0"/>
                <w:sz w:val="22"/>
              </w:rPr>
            </w:pPr>
            <w:r w:rsidRPr="008A4AFA">
              <w:rPr>
                <w:rFonts w:ascii="Calibri" w:hAnsi="Calibri" w:cs="Times New Roman"/>
                <w:i w:val="0"/>
                <w:sz w:val="22"/>
              </w:rPr>
              <w:t>International listed equities</w:t>
            </w:r>
          </w:p>
        </w:tc>
        <w:tc>
          <w:tcPr>
            <w:tcW w:w="2306" w:type="dxa"/>
            <w:tcBorders>
              <w:top w:val="single" w:sz="4" w:space="0" w:color="FF0000"/>
              <w:left w:val="single" w:sz="4" w:space="0" w:color="FF0000"/>
              <w:bottom w:val="single" w:sz="4" w:space="0" w:color="FF0000"/>
              <w:right w:val="single" w:sz="4" w:space="0" w:color="FF0000"/>
            </w:tcBorders>
          </w:tcPr>
          <w:p w14:paraId="6185341D" w14:textId="6A71237F" w:rsidR="008A4AFA" w:rsidRPr="008A4AFA" w:rsidRDefault="008A4AFA">
            <w:pPr>
              <w:pStyle w:val="BodyTextIndent"/>
              <w:spacing w:before="0" w:after="0" w:line="240" w:lineRule="auto"/>
              <w:jc w:val="center"/>
              <w:rPr>
                <w:rFonts w:ascii="Calibri" w:hAnsi="Calibri" w:cs="Times New Roman"/>
                <w:i w:val="0"/>
                <w:sz w:val="22"/>
              </w:rPr>
            </w:pPr>
            <w:r w:rsidRPr="008A4AFA">
              <w:rPr>
                <w:rFonts w:ascii="Calibri" w:hAnsi="Calibri" w:cs="Times New Roman"/>
                <w:i w:val="0"/>
                <w:sz w:val="22"/>
              </w:rPr>
              <w:t>0%</w:t>
            </w:r>
          </w:p>
        </w:tc>
      </w:tr>
      <w:tr w:rsidR="008A4AFA" w:rsidRPr="008A4AFA" w14:paraId="43F6CBCB" w14:textId="77777777" w:rsidTr="008A4AFA">
        <w:tc>
          <w:tcPr>
            <w:tcW w:w="4623" w:type="dxa"/>
            <w:tcBorders>
              <w:top w:val="single" w:sz="4" w:space="0" w:color="auto"/>
              <w:left w:val="single" w:sz="4" w:space="0" w:color="auto"/>
              <w:bottom w:val="single" w:sz="4" w:space="0" w:color="auto"/>
              <w:right w:val="single" w:sz="4" w:space="0" w:color="FF0000"/>
            </w:tcBorders>
            <w:hideMark/>
          </w:tcPr>
          <w:p w14:paraId="4973A4A4" w14:textId="77777777" w:rsidR="008A4AFA" w:rsidRPr="008A4AFA" w:rsidRDefault="008A4AFA" w:rsidP="00FF1A3D">
            <w:pPr>
              <w:pStyle w:val="BodyTextIndent"/>
              <w:numPr>
                <w:ilvl w:val="0"/>
                <w:numId w:val="2"/>
              </w:numPr>
              <w:spacing w:before="0" w:after="0" w:line="240" w:lineRule="auto"/>
              <w:rPr>
                <w:rFonts w:ascii="Calibri" w:hAnsi="Calibri" w:cs="Times New Roman"/>
                <w:i w:val="0"/>
                <w:sz w:val="22"/>
              </w:rPr>
            </w:pPr>
            <w:r w:rsidRPr="008A4AFA">
              <w:rPr>
                <w:rFonts w:ascii="Calibri" w:hAnsi="Calibri" w:cs="Times New Roman"/>
                <w:i w:val="0"/>
                <w:sz w:val="22"/>
              </w:rPr>
              <w:t>Australian listed property</w:t>
            </w:r>
          </w:p>
        </w:tc>
        <w:tc>
          <w:tcPr>
            <w:tcW w:w="2306" w:type="dxa"/>
            <w:tcBorders>
              <w:top w:val="single" w:sz="4" w:space="0" w:color="FF0000"/>
              <w:left w:val="single" w:sz="4" w:space="0" w:color="FF0000"/>
              <w:bottom w:val="single" w:sz="4" w:space="0" w:color="FF0000"/>
              <w:right w:val="single" w:sz="4" w:space="0" w:color="FF0000"/>
            </w:tcBorders>
          </w:tcPr>
          <w:p w14:paraId="7480022A" w14:textId="69738DFF" w:rsidR="008A4AFA" w:rsidRPr="008A4AFA" w:rsidRDefault="008A4AFA">
            <w:pPr>
              <w:pStyle w:val="BodyTextIndent"/>
              <w:spacing w:before="0" w:after="0" w:line="240" w:lineRule="auto"/>
              <w:jc w:val="center"/>
              <w:rPr>
                <w:rFonts w:ascii="Calibri" w:hAnsi="Calibri" w:cs="Times New Roman"/>
                <w:i w:val="0"/>
                <w:sz w:val="22"/>
              </w:rPr>
            </w:pPr>
            <w:r w:rsidRPr="008A4AFA">
              <w:rPr>
                <w:rFonts w:ascii="Calibri" w:hAnsi="Calibri" w:cs="Times New Roman"/>
                <w:i w:val="0"/>
                <w:sz w:val="22"/>
              </w:rPr>
              <w:t>0%</w:t>
            </w:r>
          </w:p>
        </w:tc>
      </w:tr>
      <w:tr w:rsidR="008A4AFA" w:rsidRPr="008A4AFA" w14:paraId="6032AD2F" w14:textId="77777777" w:rsidTr="008A4AFA">
        <w:tc>
          <w:tcPr>
            <w:tcW w:w="4623" w:type="dxa"/>
            <w:tcBorders>
              <w:top w:val="single" w:sz="4" w:space="0" w:color="auto"/>
              <w:left w:val="single" w:sz="4" w:space="0" w:color="auto"/>
              <w:bottom w:val="single" w:sz="4" w:space="0" w:color="auto"/>
              <w:right w:val="single" w:sz="4" w:space="0" w:color="FF0000"/>
            </w:tcBorders>
            <w:hideMark/>
          </w:tcPr>
          <w:p w14:paraId="6DF4FCCA" w14:textId="6279557A" w:rsidR="008A4AFA" w:rsidRPr="008A4AFA" w:rsidRDefault="008A4AFA" w:rsidP="00FF1A3D">
            <w:pPr>
              <w:pStyle w:val="BodyTextIndent"/>
              <w:numPr>
                <w:ilvl w:val="0"/>
                <w:numId w:val="2"/>
              </w:numPr>
              <w:spacing w:before="0" w:after="0" w:line="240" w:lineRule="auto"/>
              <w:rPr>
                <w:rFonts w:ascii="Calibri" w:hAnsi="Calibri" w:cs="Times New Roman"/>
                <w:i w:val="0"/>
                <w:sz w:val="22"/>
              </w:rPr>
            </w:pPr>
            <w:r w:rsidRPr="008A4AFA">
              <w:rPr>
                <w:rFonts w:ascii="Calibri" w:hAnsi="Calibri" w:cs="Times New Roman"/>
                <w:i w:val="0"/>
                <w:sz w:val="22"/>
              </w:rPr>
              <w:t>Direct Property</w:t>
            </w:r>
          </w:p>
        </w:tc>
        <w:tc>
          <w:tcPr>
            <w:tcW w:w="2306" w:type="dxa"/>
            <w:tcBorders>
              <w:top w:val="single" w:sz="4" w:space="0" w:color="FF0000"/>
              <w:left w:val="single" w:sz="4" w:space="0" w:color="FF0000"/>
              <w:bottom w:val="single" w:sz="4" w:space="0" w:color="FF0000"/>
              <w:right w:val="single" w:sz="4" w:space="0" w:color="FF0000"/>
            </w:tcBorders>
          </w:tcPr>
          <w:p w14:paraId="6A92CD9D" w14:textId="5A3C93F6" w:rsidR="008A4AFA" w:rsidRPr="008A4AFA" w:rsidRDefault="008A4AFA">
            <w:pPr>
              <w:pStyle w:val="BodyTextIndent"/>
              <w:spacing w:before="0" w:after="0" w:line="240" w:lineRule="auto"/>
              <w:jc w:val="center"/>
              <w:rPr>
                <w:rFonts w:ascii="Calibri" w:hAnsi="Calibri" w:cs="Times New Roman"/>
                <w:i w:val="0"/>
                <w:sz w:val="22"/>
              </w:rPr>
            </w:pPr>
            <w:r w:rsidRPr="008A4AFA">
              <w:rPr>
                <w:rFonts w:ascii="Calibri" w:hAnsi="Calibri" w:cs="Times New Roman"/>
                <w:i w:val="0"/>
                <w:sz w:val="22"/>
              </w:rPr>
              <w:t>0% - 100%</w:t>
            </w:r>
          </w:p>
        </w:tc>
      </w:tr>
      <w:tr w:rsidR="008A4AFA" w:rsidRPr="008A4AFA" w14:paraId="6BA10916" w14:textId="77777777" w:rsidTr="008A4AFA">
        <w:tc>
          <w:tcPr>
            <w:tcW w:w="4623" w:type="dxa"/>
            <w:tcBorders>
              <w:top w:val="single" w:sz="4" w:space="0" w:color="auto"/>
              <w:left w:val="single" w:sz="4" w:space="0" w:color="auto"/>
              <w:bottom w:val="single" w:sz="4" w:space="0" w:color="auto"/>
              <w:right w:val="single" w:sz="4" w:space="0" w:color="FF0000"/>
            </w:tcBorders>
            <w:hideMark/>
          </w:tcPr>
          <w:p w14:paraId="3EC768A9" w14:textId="77777777" w:rsidR="008A4AFA" w:rsidRPr="008A4AFA" w:rsidRDefault="008A4AFA" w:rsidP="00FF1A3D">
            <w:pPr>
              <w:pStyle w:val="BodyTextIndent"/>
              <w:numPr>
                <w:ilvl w:val="0"/>
                <w:numId w:val="3"/>
              </w:numPr>
              <w:spacing w:before="0" w:after="0" w:line="240" w:lineRule="auto"/>
              <w:rPr>
                <w:rFonts w:ascii="Calibri" w:hAnsi="Calibri" w:cs="Times New Roman"/>
                <w:i w:val="0"/>
                <w:sz w:val="22"/>
              </w:rPr>
            </w:pPr>
            <w:r w:rsidRPr="008A4AFA">
              <w:rPr>
                <w:rFonts w:ascii="Calibri" w:hAnsi="Calibri" w:cs="Times New Roman"/>
                <w:i w:val="0"/>
                <w:sz w:val="22"/>
              </w:rPr>
              <w:t>Cash and term deposits</w:t>
            </w:r>
          </w:p>
        </w:tc>
        <w:tc>
          <w:tcPr>
            <w:tcW w:w="2306" w:type="dxa"/>
            <w:tcBorders>
              <w:top w:val="single" w:sz="4" w:space="0" w:color="FF0000"/>
              <w:left w:val="single" w:sz="4" w:space="0" w:color="FF0000"/>
              <w:bottom w:val="single" w:sz="4" w:space="0" w:color="FF0000"/>
              <w:right w:val="single" w:sz="4" w:space="0" w:color="FF0000"/>
            </w:tcBorders>
          </w:tcPr>
          <w:p w14:paraId="0306EB92" w14:textId="4067865C" w:rsidR="008A4AFA" w:rsidRPr="008A4AFA" w:rsidRDefault="008A4AFA">
            <w:pPr>
              <w:pStyle w:val="BodyTextIndent"/>
              <w:spacing w:before="0" w:after="0" w:line="240" w:lineRule="auto"/>
              <w:jc w:val="center"/>
              <w:rPr>
                <w:rFonts w:ascii="Calibri" w:hAnsi="Calibri" w:cs="Times New Roman"/>
                <w:i w:val="0"/>
                <w:sz w:val="22"/>
              </w:rPr>
            </w:pPr>
            <w:r w:rsidRPr="008A4AFA">
              <w:rPr>
                <w:rFonts w:ascii="Calibri" w:hAnsi="Calibri" w:cs="Times New Roman"/>
                <w:i w:val="0"/>
                <w:sz w:val="22"/>
              </w:rPr>
              <w:t>0% - 10%</w:t>
            </w:r>
          </w:p>
        </w:tc>
      </w:tr>
      <w:tr w:rsidR="008A4AFA" w:rsidRPr="008A4AFA" w14:paraId="2289E95D" w14:textId="77777777" w:rsidTr="008A4AFA">
        <w:tc>
          <w:tcPr>
            <w:tcW w:w="4623" w:type="dxa"/>
            <w:tcBorders>
              <w:top w:val="single" w:sz="4" w:space="0" w:color="auto"/>
              <w:left w:val="single" w:sz="4" w:space="0" w:color="auto"/>
              <w:bottom w:val="single" w:sz="4" w:space="0" w:color="auto"/>
              <w:right w:val="single" w:sz="4" w:space="0" w:color="FF0000"/>
            </w:tcBorders>
          </w:tcPr>
          <w:p w14:paraId="1BE6929F" w14:textId="11F07A9C" w:rsidR="008A4AFA" w:rsidRPr="008A4AFA" w:rsidRDefault="008A4AFA" w:rsidP="00FF1A3D">
            <w:pPr>
              <w:pStyle w:val="BodyTextIndent"/>
              <w:numPr>
                <w:ilvl w:val="0"/>
                <w:numId w:val="3"/>
              </w:numPr>
              <w:spacing w:before="0" w:after="0" w:line="240" w:lineRule="auto"/>
              <w:rPr>
                <w:rFonts w:ascii="Calibri" w:hAnsi="Calibri" w:cs="Times New Roman"/>
                <w:i w:val="0"/>
                <w:sz w:val="22"/>
              </w:rPr>
            </w:pPr>
            <w:r w:rsidRPr="008A4AFA">
              <w:rPr>
                <w:rFonts w:ascii="Calibri" w:hAnsi="Calibri" w:cs="Times New Roman"/>
                <w:i w:val="0"/>
                <w:sz w:val="22"/>
              </w:rPr>
              <w:t>Other</w:t>
            </w:r>
          </w:p>
        </w:tc>
        <w:tc>
          <w:tcPr>
            <w:tcW w:w="2306" w:type="dxa"/>
            <w:tcBorders>
              <w:top w:val="single" w:sz="4" w:space="0" w:color="FF0000"/>
              <w:left w:val="single" w:sz="4" w:space="0" w:color="FF0000"/>
              <w:bottom w:val="single" w:sz="4" w:space="0" w:color="FF0000"/>
              <w:right w:val="single" w:sz="4" w:space="0" w:color="FF0000"/>
            </w:tcBorders>
          </w:tcPr>
          <w:p w14:paraId="77939A87" w14:textId="4F44B465" w:rsidR="008A4AFA" w:rsidRPr="008A4AFA" w:rsidRDefault="008A4AFA">
            <w:pPr>
              <w:pStyle w:val="BodyTextIndent"/>
              <w:spacing w:before="0" w:after="0" w:line="240" w:lineRule="auto"/>
              <w:jc w:val="center"/>
              <w:rPr>
                <w:rFonts w:ascii="Calibri" w:hAnsi="Calibri" w:cs="Times New Roman"/>
                <w:i w:val="0"/>
                <w:sz w:val="22"/>
              </w:rPr>
            </w:pPr>
            <w:r w:rsidRPr="008A4AFA">
              <w:rPr>
                <w:rFonts w:ascii="Calibri" w:hAnsi="Calibri" w:cs="Times New Roman"/>
                <w:i w:val="0"/>
                <w:sz w:val="22"/>
              </w:rPr>
              <w:t>0% - 5%</w:t>
            </w:r>
          </w:p>
        </w:tc>
      </w:tr>
    </w:tbl>
    <w:p w14:paraId="0DAF8A65" w14:textId="77777777" w:rsidR="00700838" w:rsidRPr="008A4AFA" w:rsidRDefault="00700838" w:rsidP="00503257">
      <w:pPr>
        <w:pStyle w:val="BodyTextIndent"/>
        <w:spacing w:before="0" w:after="0" w:line="240" w:lineRule="auto"/>
        <w:rPr>
          <w:rFonts w:ascii="Calibri" w:hAnsi="Calibri" w:cs="Times New Roman"/>
          <w:i w:val="0"/>
          <w:sz w:val="22"/>
        </w:rPr>
      </w:pPr>
    </w:p>
    <w:p w14:paraId="225CEF41" w14:textId="77777777" w:rsidR="00700838" w:rsidRPr="008A4AFA" w:rsidRDefault="00700838" w:rsidP="00503257">
      <w:pPr>
        <w:pStyle w:val="BodyTextIndent"/>
        <w:spacing w:before="0" w:after="0" w:line="240" w:lineRule="auto"/>
        <w:rPr>
          <w:rFonts w:ascii="Calibri" w:hAnsi="Calibri" w:cs="Times New Roman"/>
          <w:sz w:val="22"/>
        </w:rPr>
      </w:pPr>
    </w:p>
    <w:p w14:paraId="62534AAE" w14:textId="77777777" w:rsidR="00700838" w:rsidRPr="008A4AFA" w:rsidRDefault="00700838" w:rsidP="00503257">
      <w:pPr>
        <w:pStyle w:val="BodyTextIndent"/>
        <w:spacing w:before="0" w:after="0" w:line="240" w:lineRule="auto"/>
        <w:rPr>
          <w:rFonts w:ascii="Calibri" w:hAnsi="Calibri" w:cs="Times New Roman"/>
          <w:sz w:val="22"/>
        </w:rPr>
      </w:pPr>
    </w:p>
    <w:p w14:paraId="3064ECA6" w14:textId="77777777" w:rsidR="00700838" w:rsidRPr="008A4AFA" w:rsidRDefault="00700838" w:rsidP="00503257">
      <w:pPr>
        <w:pStyle w:val="BodyText3"/>
        <w:spacing w:before="0" w:after="0" w:line="240" w:lineRule="auto"/>
        <w:rPr>
          <w:rFonts w:ascii="Calibri" w:hAnsi="Calibri" w:cs="Times New Roman"/>
          <w:sz w:val="22"/>
          <w:szCs w:val="22"/>
        </w:rPr>
      </w:pPr>
    </w:p>
    <w:p w14:paraId="2AD76450" w14:textId="77777777" w:rsidR="00700838" w:rsidRPr="008A4AFA" w:rsidRDefault="00700838" w:rsidP="00503257">
      <w:pPr>
        <w:pStyle w:val="Heading2"/>
        <w:tabs>
          <w:tab w:val="left" w:pos="567"/>
          <w:tab w:val="left" w:pos="1134"/>
        </w:tabs>
        <w:spacing w:before="0" w:after="0"/>
        <w:rPr>
          <w:rFonts w:ascii="Calibri" w:hAnsi="Calibri" w:cs="Times New Roman"/>
          <w:b w:val="0"/>
          <w:i w:val="0"/>
          <w:iCs w:val="0"/>
          <w:sz w:val="22"/>
          <w:szCs w:val="22"/>
        </w:rPr>
      </w:pPr>
    </w:p>
    <w:p w14:paraId="243019E5" w14:textId="77777777" w:rsidR="00700838" w:rsidRPr="008A4AFA" w:rsidRDefault="00700838" w:rsidP="00503257">
      <w:pPr>
        <w:rPr>
          <w:rFonts w:ascii="Calibri" w:hAnsi="Calibri" w:cs="Arial"/>
        </w:rPr>
      </w:pPr>
    </w:p>
    <w:p w14:paraId="645E2EF2" w14:textId="77777777" w:rsidR="00700838" w:rsidRPr="008A4AFA" w:rsidRDefault="00700838" w:rsidP="00503257">
      <w:pPr>
        <w:spacing w:after="0" w:line="240" w:lineRule="auto"/>
        <w:jc w:val="both"/>
        <w:rPr>
          <w:rFonts w:ascii="Calibri" w:hAnsi="Calibri" w:cs="Times New Roman"/>
        </w:rPr>
      </w:pPr>
    </w:p>
    <w:p w14:paraId="0C3BE211" w14:textId="77777777" w:rsidR="00700838" w:rsidRPr="008A4AFA" w:rsidRDefault="00700838" w:rsidP="00503257">
      <w:pPr>
        <w:spacing w:after="0" w:line="240" w:lineRule="auto"/>
        <w:jc w:val="center"/>
        <w:rPr>
          <w:rFonts w:ascii="Calibri" w:hAnsi="Calibri" w:cs="Times New Roman"/>
          <w:b/>
        </w:rPr>
      </w:pPr>
    </w:p>
    <w:p w14:paraId="705C6C15" w14:textId="77777777" w:rsidR="00700838" w:rsidRPr="008A4AFA" w:rsidRDefault="00700838" w:rsidP="00503257">
      <w:pPr>
        <w:spacing w:after="0" w:line="240" w:lineRule="auto"/>
        <w:rPr>
          <w:rFonts w:ascii="Calibri" w:hAnsi="Calibri" w:cs="Times New Roman"/>
          <w:bCs/>
        </w:rPr>
      </w:pPr>
      <w:r w:rsidRPr="008A4AFA">
        <w:rPr>
          <w:rFonts w:ascii="Calibri" w:hAnsi="Calibri" w:cs="Times New Roman"/>
        </w:rPr>
        <w:t>Signed &amp; dated</w:t>
      </w:r>
    </w:p>
    <w:p w14:paraId="24AB4D87" w14:textId="77777777" w:rsidR="00700838" w:rsidRPr="008A4AFA" w:rsidRDefault="00700838" w:rsidP="00503257">
      <w:pPr>
        <w:spacing w:after="0" w:line="240" w:lineRule="auto"/>
        <w:rPr>
          <w:rFonts w:ascii="Calibri" w:hAnsi="Calibri" w:cs="Times New Roman"/>
        </w:rPr>
      </w:pPr>
    </w:p>
    <w:p w14:paraId="5AC9FD19" w14:textId="77777777" w:rsidR="00700838" w:rsidRPr="008A4AFA" w:rsidRDefault="00700838" w:rsidP="00503257">
      <w:pPr>
        <w:spacing w:after="0" w:line="240" w:lineRule="auto"/>
        <w:rPr>
          <w:rFonts w:ascii="Calibri" w:hAnsi="Calibri" w:cs="Times New Roman"/>
        </w:rPr>
      </w:pPr>
    </w:p>
    <w:p w14:paraId="11FF85BF" w14:textId="77777777" w:rsidR="00700838" w:rsidRPr="008A4AFA" w:rsidRDefault="00700838" w:rsidP="00503257">
      <w:pPr>
        <w:spacing w:after="0" w:line="240" w:lineRule="auto"/>
        <w:rPr>
          <w:rFonts w:ascii="Calibri" w:hAnsi="Calibri" w:cs="Times New Roman"/>
        </w:rPr>
      </w:pPr>
      <w:r w:rsidRPr="008A4AFA">
        <w:rPr>
          <w:rFonts w:ascii="Calibri" w:hAnsi="Calibri" w:cs="Times New Roman"/>
        </w:rPr>
        <w:t>____________________________________</w:t>
      </w:r>
    </w:p>
    <w:p w14:paraId="12BAA5D0" w14:textId="51A67A8F" w:rsidR="00700838" w:rsidRPr="008A4AFA" w:rsidRDefault="008A4AFA" w:rsidP="00503257">
      <w:pPr>
        <w:spacing w:after="0" w:line="240" w:lineRule="auto"/>
        <w:rPr>
          <w:rFonts w:ascii="Calibri" w:hAnsi="Calibri" w:cs="Times New Roman"/>
        </w:rPr>
      </w:pPr>
      <w:r w:rsidRPr="008A4AFA">
        <w:rPr>
          <w:rFonts w:ascii="Calibri" w:hAnsi="Calibri" w:cs="Times New Roman"/>
        </w:rPr>
        <w:t>David Walton Bird (Trustee)</w:t>
      </w:r>
    </w:p>
    <w:p w14:paraId="1D77E399" w14:textId="77777777" w:rsidR="00700838" w:rsidRPr="008A4AFA" w:rsidRDefault="00700838" w:rsidP="00503257">
      <w:pPr>
        <w:spacing w:after="0" w:line="240" w:lineRule="auto"/>
        <w:rPr>
          <w:rFonts w:ascii="Calibri" w:hAnsi="Calibri" w:cs="Times New Roman"/>
        </w:rPr>
      </w:pPr>
    </w:p>
    <w:p w14:paraId="1B631F8E" w14:textId="77777777" w:rsidR="00700838" w:rsidRPr="008A4AFA" w:rsidRDefault="00700838" w:rsidP="00503257">
      <w:pPr>
        <w:spacing w:after="0" w:line="240" w:lineRule="auto"/>
        <w:rPr>
          <w:rFonts w:ascii="Calibri" w:hAnsi="Calibri" w:cs="Times New Roman"/>
        </w:rPr>
      </w:pPr>
    </w:p>
    <w:p w14:paraId="44BE3C30" w14:textId="77777777" w:rsidR="00700838" w:rsidRPr="008A4AFA" w:rsidRDefault="00700838" w:rsidP="00503257">
      <w:pPr>
        <w:spacing w:after="0" w:line="240" w:lineRule="auto"/>
        <w:rPr>
          <w:rFonts w:ascii="Calibri" w:hAnsi="Calibri" w:cs="Times New Roman"/>
        </w:rPr>
      </w:pPr>
      <w:r w:rsidRPr="008A4AFA">
        <w:rPr>
          <w:rFonts w:ascii="Calibri" w:hAnsi="Calibri" w:cs="Times New Roman"/>
        </w:rPr>
        <w:t>____________________________________</w:t>
      </w:r>
    </w:p>
    <w:p w14:paraId="5117E0B7" w14:textId="4CED2904" w:rsidR="00700838" w:rsidRPr="008A4AFA" w:rsidRDefault="008A4AFA" w:rsidP="00503257">
      <w:pPr>
        <w:spacing w:after="0" w:line="240" w:lineRule="auto"/>
        <w:rPr>
          <w:rFonts w:ascii="Calibri" w:hAnsi="Calibri" w:cs="Times New Roman"/>
        </w:rPr>
      </w:pPr>
      <w:r w:rsidRPr="008A4AFA">
        <w:rPr>
          <w:rFonts w:ascii="Calibri" w:hAnsi="Calibri" w:cs="Times New Roman"/>
        </w:rPr>
        <w:t>Glenys Eleanor Bird ( Trustee)</w:t>
      </w:r>
    </w:p>
    <w:p w14:paraId="414B61BC" w14:textId="37F3460D" w:rsidR="008A4AFA" w:rsidRPr="008A4AFA" w:rsidRDefault="008A4AFA" w:rsidP="00503257">
      <w:pPr>
        <w:spacing w:after="0" w:line="240" w:lineRule="auto"/>
        <w:rPr>
          <w:rFonts w:ascii="Calibri" w:hAnsi="Calibri" w:cs="Times New Roman"/>
        </w:rPr>
      </w:pPr>
    </w:p>
    <w:p w14:paraId="0AD334F2" w14:textId="63A2E1AF" w:rsidR="008A4AFA" w:rsidRPr="008A4AFA" w:rsidRDefault="008A4AFA" w:rsidP="00503257">
      <w:pPr>
        <w:spacing w:after="0" w:line="240" w:lineRule="auto"/>
        <w:rPr>
          <w:rFonts w:ascii="Calibri" w:hAnsi="Calibri" w:cs="Times New Roman"/>
        </w:rPr>
      </w:pPr>
    </w:p>
    <w:p w14:paraId="7AB8D222" w14:textId="77777777" w:rsidR="008A4AFA" w:rsidRPr="008A4AFA" w:rsidRDefault="008A4AFA" w:rsidP="00503257">
      <w:pPr>
        <w:spacing w:after="0" w:line="240" w:lineRule="auto"/>
        <w:rPr>
          <w:rFonts w:ascii="Calibri" w:hAnsi="Calibri" w:cs="Times New Roman"/>
        </w:rPr>
      </w:pPr>
    </w:p>
    <w:p w14:paraId="57C95CFC" w14:textId="77777777" w:rsidR="008A4AFA" w:rsidRPr="008A4AFA" w:rsidRDefault="008A4AFA" w:rsidP="00503257">
      <w:pPr>
        <w:spacing w:after="0" w:line="240" w:lineRule="auto"/>
        <w:rPr>
          <w:rFonts w:ascii="Calibri" w:hAnsi="Calibri" w:cs="Times New Roman"/>
        </w:rPr>
      </w:pPr>
    </w:p>
    <w:p w14:paraId="6EE86188" w14:textId="7C5E799F" w:rsidR="00700838" w:rsidRPr="008A4AFA" w:rsidRDefault="008A4AFA">
      <w:r w:rsidRPr="008A4AFA">
        <w:rPr>
          <w:rFonts w:ascii="CIDFont+F3" w:hAnsi="CIDFont+F3" w:cs="CIDFont+F3"/>
          <w:sz w:val="20"/>
          <w:szCs w:val="20"/>
        </w:rPr>
        <w:t>Date 01/04/2022</w:t>
      </w:r>
    </w:p>
    <w:sectPr w:rsidR="00700838" w:rsidRPr="008A4AFA" w:rsidSect="008A4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6CD3602"/>
    <w:multiLevelType w:val="hybridMultilevel"/>
    <w:tmpl w:val="0CA0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1">
    <w:nsid w:val="51446D77"/>
    <w:multiLevelType w:val="hybridMultilevel"/>
    <w:tmpl w:val="25EAD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1">
    <w:nsid w:val="7E7F2A91"/>
    <w:multiLevelType w:val="hybridMultilevel"/>
    <w:tmpl w:val="8D5A43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566649138">
    <w:abstractNumId w:val="2"/>
  </w:num>
  <w:num w:numId="2" w16cid:durableId="1981376002">
    <w:abstractNumId w:val="0"/>
  </w:num>
  <w:num w:numId="3" w16cid:durableId="174309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86"/>
    <w:rsid w:val="000F3E97"/>
    <w:rsid w:val="000F6A66"/>
    <w:rsid w:val="0029753C"/>
    <w:rsid w:val="002B5C7B"/>
    <w:rsid w:val="004433A3"/>
    <w:rsid w:val="00503257"/>
    <w:rsid w:val="00563AE7"/>
    <w:rsid w:val="00574CBC"/>
    <w:rsid w:val="00700838"/>
    <w:rsid w:val="00792159"/>
    <w:rsid w:val="008A4AFA"/>
    <w:rsid w:val="0099330B"/>
    <w:rsid w:val="009A2EB4"/>
    <w:rsid w:val="00A84064"/>
    <w:rsid w:val="00AE6ADA"/>
    <w:rsid w:val="00E73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5405"/>
  <w15:chartTrackingRefBased/>
  <w15:docId w15:val="{6F484002-5441-4478-98E1-0150AE7D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503257"/>
    <w:pPr>
      <w:keepNext/>
      <w:tabs>
        <w:tab w:val="left" w:pos="851"/>
        <w:tab w:val="left" w:pos="1701"/>
        <w:tab w:val="left" w:pos="2552"/>
      </w:tabs>
      <w:spacing w:before="240" w:after="60" w:line="312" w:lineRule="auto"/>
      <w:outlineLvl w:val="1"/>
    </w:pPr>
    <w:rPr>
      <w:rFonts w:ascii="Arial" w:eastAsia="Times New Roman" w:hAnsi="Arial" w:cs="Arial"/>
      <w:b/>
      <w:bCs/>
      <w:i/>
      <w:i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503257"/>
    <w:rPr>
      <w:rFonts w:ascii="Arial" w:eastAsia="Times New Roman" w:hAnsi="Arial" w:cs="Arial"/>
      <w:b/>
      <w:bCs/>
      <w:i/>
      <w:iCs/>
      <w:kern w:val="32"/>
      <w:sz w:val="28"/>
      <w:szCs w:val="28"/>
    </w:rPr>
  </w:style>
  <w:style w:type="paragraph" w:styleId="NormalWeb">
    <w:name w:val="Normal (Web)"/>
    <w:basedOn w:val="Normal"/>
    <w:uiPriority w:val="99"/>
    <w:semiHidden/>
    <w:unhideWhenUsed/>
    <w:rsid w:val="005032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503257"/>
    <w:pPr>
      <w:tabs>
        <w:tab w:val="left" w:pos="851"/>
        <w:tab w:val="left" w:pos="1701"/>
        <w:tab w:val="left" w:pos="2552"/>
      </w:tabs>
      <w:spacing w:before="60" w:after="60" w:line="312" w:lineRule="auto"/>
    </w:pPr>
    <w:rPr>
      <w:rFonts w:ascii="Trebuchet MS" w:eastAsia="Times New Roman" w:hAnsi="Trebuchet MS" w:cs="Arial"/>
      <w:bCs/>
      <w:i/>
      <w:iCs/>
      <w:kern w:val="32"/>
      <w:sz w:val="24"/>
    </w:rPr>
  </w:style>
  <w:style w:type="character" w:customStyle="1" w:styleId="BodyTextIndentChar">
    <w:name w:val="Body Text Indent Char"/>
    <w:basedOn w:val="DefaultParagraphFont"/>
    <w:link w:val="BodyTextIndent"/>
    <w:uiPriority w:val="99"/>
    <w:rsid w:val="00503257"/>
    <w:rPr>
      <w:rFonts w:ascii="Trebuchet MS" w:eastAsia="Times New Roman" w:hAnsi="Trebuchet MS" w:cs="Arial"/>
      <w:bCs/>
      <w:i/>
      <w:iCs/>
      <w:kern w:val="32"/>
      <w:sz w:val="24"/>
    </w:rPr>
  </w:style>
  <w:style w:type="paragraph" w:styleId="BodyText3">
    <w:name w:val="Body Text 3"/>
    <w:basedOn w:val="Normal"/>
    <w:link w:val="BodyText3Char"/>
    <w:uiPriority w:val="99"/>
    <w:semiHidden/>
    <w:unhideWhenUsed/>
    <w:rsid w:val="00503257"/>
    <w:pPr>
      <w:tabs>
        <w:tab w:val="left" w:pos="851"/>
        <w:tab w:val="left" w:pos="1701"/>
        <w:tab w:val="left" w:pos="2552"/>
      </w:tabs>
      <w:spacing w:before="60" w:after="120" w:line="312" w:lineRule="auto"/>
    </w:pPr>
    <w:rPr>
      <w:rFonts w:ascii="Trebuchet MS" w:eastAsia="Times New Roman" w:hAnsi="Trebuchet MS" w:cs="Arial"/>
      <w:bCs/>
      <w:kern w:val="32"/>
      <w:sz w:val="16"/>
      <w:szCs w:val="16"/>
    </w:rPr>
  </w:style>
  <w:style w:type="character" w:customStyle="1" w:styleId="BodyText3Char">
    <w:name w:val="Body Text 3 Char"/>
    <w:basedOn w:val="DefaultParagraphFont"/>
    <w:link w:val="BodyText3"/>
    <w:uiPriority w:val="99"/>
    <w:semiHidden/>
    <w:rsid w:val="00503257"/>
    <w:rPr>
      <w:rFonts w:ascii="Trebuchet MS" w:eastAsia="Times New Roman" w:hAnsi="Trebuchet MS" w:cs="Arial"/>
      <w:bCs/>
      <w:kern w:val="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 Admin</dc:creator>
  <cp:keywords/>
  <dc:description/>
  <cp:lastModifiedBy>Anu Siva</cp:lastModifiedBy>
  <cp:revision>2</cp:revision>
  <dcterms:created xsi:type="dcterms:W3CDTF">2022-05-04T03:56:00Z</dcterms:created>
  <dcterms:modified xsi:type="dcterms:W3CDTF">2022-05-04T03:56:00Z</dcterms:modified>
</cp:coreProperties>
</file>