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3C916" w14:textId="77777777" w:rsidR="008878E5" w:rsidRPr="008878E5" w:rsidRDefault="008878E5">
      <w:pPr>
        <w:rPr>
          <w:sz w:val="10"/>
          <w:szCs w:val="10"/>
        </w:r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D3487E" w14:paraId="4C043819" w14:textId="77777777" w:rsidTr="00CA485C">
        <w:tc>
          <w:tcPr>
            <w:tcW w:w="3800" w:type="dxa"/>
          </w:tcPr>
          <w:p w14:paraId="6B365384" w14:textId="77777777" w:rsidR="007A0DFE" w:rsidRDefault="007A0DF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14:paraId="1E2ED8FB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FINANCIAL STATEMENTS OF SUPERANNUATION FUND:</w:t>
            </w:r>
          </w:p>
        </w:tc>
        <w:tc>
          <w:tcPr>
            <w:tcW w:w="6548" w:type="dxa"/>
          </w:tcPr>
          <w:p w14:paraId="0646C990" w14:textId="77777777" w:rsidR="007A0DFE" w:rsidRDefault="007A0DF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64AF4B83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financial statements would be prepared as special purpose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statements as, in the opinion of the trustee(s), the superannuation fund is a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non-reporting entity and therefore is not required to comply with all Australian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Accounting Standards.</w:t>
            </w:r>
          </w:p>
          <w:p w14:paraId="33F0D541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3931F156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tabled the financial statements and notes to the financial statements of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superannuation fund in respect of the year ended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="000C7ADD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and it was resolved that such statements be and are hereby adopted as tabled. </w:t>
            </w:r>
          </w:p>
        </w:tc>
      </w:tr>
      <w:tr w:rsidR="00D3487E" w:rsidRPr="00DC70C0" w14:paraId="1FE6E559" w14:textId="77777777" w:rsidTr="00CA485C">
        <w:trPr>
          <w:trHeight w:val="42"/>
        </w:trPr>
        <w:tc>
          <w:tcPr>
            <w:tcW w:w="3800" w:type="dxa"/>
          </w:tcPr>
          <w:p w14:paraId="58E8F856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7C8BF299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69E42F60" w14:textId="77777777" w:rsidTr="00CA485C">
        <w:tc>
          <w:tcPr>
            <w:tcW w:w="3800" w:type="dxa"/>
          </w:tcPr>
          <w:p w14:paraId="77F95448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TRUSTEE'S DECLARATION:</w:t>
            </w:r>
          </w:p>
        </w:tc>
        <w:tc>
          <w:tcPr>
            <w:tcW w:w="6548" w:type="dxa"/>
          </w:tcPr>
          <w:p w14:paraId="33233CE7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trustee’s declaration of the superannuation fund be signed.</w:t>
            </w:r>
          </w:p>
        </w:tc>
      </w:tr>
      <w:tr w:rsidR="00D3487E" w:rsidRPr="00DC70C0" w14:paraId="2C62E750" w14:textId="77777777" w:rsidTr="00CA485C">
        <w:tc>
          <w:tcPr>
            <w:tcW w:w="3800" w:type="dxa"/>
          </w:tcPr>
          <w:p w14:paraId="71FA5E53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2D0177EF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03356C63" w14:textId="77777777" w:rsidTr="00CA485C">
        <w:tc>
          <w:tcPr>
            <w:tcW w:w="3800" w:type="dxa"/>
          </w:tcPr>
          <w:p w14:paraId="6950B995" w14:textId="77777777" w:rsidR="00D3487E" w:rsidRPr="00720E16" w:rsidRDefault="00D3487E" w:rsidP="00A36570">
            <w:pPr>
              <w:widowControl w:val="0"/>
              <w:tabs>
                <w:tab w:val="left" w:pos="4144"/>
                <w:tab w:val="left" w:pos="4428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ANNUAL RETURN:</w:t>
            </w:r>
          </w:p>
        </w:tc>
        <w:tc>
          <w:tcPr>
            <w:tcW w:w="6548" w:type="dxa"/>
          </w:tcPr>
          <w:p w14:paraId="58EC7AF2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Being satisfied that the fund had complied with the requirements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Superannuation Industry (Supervision) Act 1993 (SISA) and Regulations during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year 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, it was resolved that the annual return be approved, signed and lodged with the Australian Taxation Office.</w:t>
            </w:r>
          </w:p>
        </w:tc>
      </w:tr>
      <w:tr w:rsidR="00D3487E" w:rsidRPr="00DC70C0" w14:paraId="39303040" w14:textId="77777777" w:rsidTr="00CA485C">
        <w:tc>
          <w:tcPr>
            <w:tcW w:w="3800" w:type="dxa"/>
          </w:tcPr>
          <w:p w14:paraId="338BB69B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6548" w:type="dxa"/>
          </w:tcPr>
          <w:p w14:paraId="11E92B56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13FB2965" w14:textId="77777777" w:rsidTr="00CA485C">
        <w:tc>
          <w:tcPr>
            <w:tcW w:w="3800" w:type="dxa"/>
          </w:tcPr>
          <w:p w14:paraId="08B7CEF6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548" w:type="dxa"/>
          </w:tcPr>
          <w:p w14:paraId="0E8B6054" w14:textId="77777777" w:rsidR="00D3487E" w:rsidRPr="00464C29" w:rsidRDefault="00D3487E" w:rsidP="00464C29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allocation of the fund’s assets and the fund’s investment performance over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year were reviewed and found to be within the acceptable ranges outlined in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investment strategy. After considering the risk, rate of return and liquidity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investments and the ability of the fund to discharge its existing liabilities, it was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resolved that the investment strategy continues to reflect the purposes and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circumstances of the fund and its members. Accordingly, no changes in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strategy were required.</w:t>
            </w:r>
          </w:p>
        </w:tc>
      </w:tr>
      <w:tr w:rsidR="00D3487E" w:rsidRPr="00DC70C0" w14:paraId="5CDAFBF0" w14:textId="77777777" w:rsidTr="00CA485C">
        <w:tc>
          <w:tcPr>
            <w:tcW w:w="3800" w:type="dxa"/>
          </w:tcPr>
          <w:p w14:paraId="256FC7FB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4C57BC2E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11C880D1" w14:textId="77777777" w:rsidTr="00CA485C">
        <w:tc>
          <w:tcPr>
            <w:tcW w:w="3800" w:type="dxa"/>
          </w:tcPr>
          <w:p w14:paraId="58000E1D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INSURANCE COVER:</w:t>
            </w:r>
          </w:p>
        </w:tc>
        <w:tc>
          <w:tcPr>
            <w:tcW w:w="6548" w:type="dxa"/>
          </w:tcPr>
          <w:p w14:paraId="152A45E8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trustee(s) reviewed the current life and total and permanent disability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coverage on offer to the members and resolved that the current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arrangements were appropriate for the fund.</w:t>
            </w:r>
          </w:p>
        </w:tc>
      </w:tr>
      <w:tr w:rsidR="00D3487E" w:rsidRPr="00DC70C0" w14:paraId="4C3C41E5" w14:textId="77777777" w:rsidTr="00CA485C">
        <w:tc>
          <w:tcPr>
            <w:tcW w:w="3800" w:type="dxa"/>
          </w:tcPr>
          <w:p w14:paraId="540299DB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02D54ECA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092AEB1E" w14:textId="77777777" w:rsidTr="00CA485C">
        <w:tc>
          <w:tcPr>
            <w:tcW w:w="3800" w:type="dxa"/>
          </w:tcPr>
          <w:p w14:paraId="3EB8D5F8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ALLOCATION OF INCOME:</w:t>
            </w:r>
          </w:p>
        </w:tc>
        <w:tc>
          <w:tcPr>
            <w:tcW w:w="6548" w:type="dxa"/>
          </w:tcPr>
          <w:p w14:paraId="53F56B87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income of the fund would be allocated to the members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based on their average daily balance (an alternative allocation basis may be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percentage of opening balance).</w:t>
            </w:r>
          </w:p>
        </w:tc>
      </w:tr>
      <w:tr w:rsidR="00D3487E" w:rsidRPr="00DC70C0" w14:paraId="2BF1E74B" w14:textId="77777777" w:rsidTr="00CA485C">
        <w:tc>
          <w:tcPr>
            <w:tcW w:w="3800" w:type="dxa"/>
          </w:tcPr>
          <w:p w14:paraId="4E8AA5E7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380B7E1D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031AA753" w14:textId="77777777" w:rsidTr="00CA485C">
        <w:tc>
          <w:tcPr>
            <w:tcW w:w="3800" w:type="dxa"/>
          </w:tcPr>
          <w:p w14:paraId="7A42EA08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ACQUISITIONS:</w:t>
            </w:r>
          </w:p>
        </w:tc>
        <w:tc>
          <w:tcPr>
            <w:tcW w:w="6548" w:type="dxa"/>
          </w:tcPr>
          <w:p w14:paraId="0DB5D6F7" w14:textId="03827F83" w:rsidR="0033174E" w:rsidRDefault="0033174E" w:rsidP="0033174E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noted that during the year the Trustees invested $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30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,000 in Cromwell Direct Property Fund.</w:t>
            </w:r>
          </w:p>
          <w:p w14:paraId="140477C2" w14:textId="77777777" w:rsidR="0033174E" w:rsidRDefault="0033174E" w:rsidP="0033174E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0A72FF88" w14:textId="77777777" w:rsidR="0033174E" w:rsidRDefault="0033174E" w:rsidP="0033174E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Trustees considered this investment to be appropriate for the Fund and noted that they:</w:t>
            </w:r>
          </w:p>
          <w:p w14:paraId="78C1C4C4" w14:textId="77777777" w:rsidR="0033174E" w:rsidRPr="00E43BAA" w:rsidRDefault="0033174E" w:rsidP="0033174E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wish to vary the Fund’s investment strategy to include an investment range of 0-20% for Direct Property;</w:t>
            </w:r>
          </w:p>
          <w:p w14:paraId="3CA69488" w14:textId="77777777" w:rsidR="0033174E" w:rsidRPr="00B165EE" w:rsidRDefault="0033174E" w:rsidP="0033174E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is in accordance with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Objectives of the current I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nvestment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trateg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 of the Fund; and </w:t>
            </w:r>
          </w:p>
          <w:p w14:paraId="5D9CECA9" w14:textId="77777777" w:rsidR="0033174E" w:rsidRPr="00E43BAA" w:rsidRDefault="0033174E" w:rsidP="0033174E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E43BAA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does not breach any Superannuation Laws.</w:t>
            </w:r>
          </w:p>
          <w:p w14:paraId="683005A1" w14:textId="77777777" w:rsidR="0033174E" w:rsidRDefault="0033174E" w:rsidP="0033174E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419212D" w14:textId="1554E375" w:rsidR="00D3487E" w:rsidRPr="00464C29" w:rsidRDefault="0033174E" w:rsidP="0033174E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acquisitions throughout the financial year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D3487E" w:rsidRPr="00DC70C0" w14:paraId="6D39F780" w14:textId="77777777" w:rsidTr="00CA485C">
        <w:tc>
          <w:tcPr>
            <w:tcW w:w="3800" w:type="dxa"/>
          </w:tcPr>
          <w:p w14:paraId="3091C4E4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633B18F9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6B1D9056" w14:textId="77777777" w:rsidTr="00CA485C">
        <w:tc>
          <w:tcPr>
            <w:tcW w:w="3800" w:type="dxa"/>
          </w:tcPr>
          <w:p w14:paraId="63D8CAAE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DISPOSALS:</w:t>
            </w:r>
          </w:p>
        </w:tc>
        <w:tc>
          <w:tcPr>
            <w:tcW w:w="6548" w:type="dxa"/>
          </w:tcPr>
          <w:p w14:paraId="0EE465AE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disposals throughout the financial year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D3487E" w:rsidRPr="00DC70C0" w14:paraId="1668049F" w14:textId="77777777" w:rsidTr="00CA485C">
        <w:tc>
          <w:tcPr>
            <w:tcW w:w="3800" w:type="dxa"/>
          </w:tcPr>
          <w:p w14:paraId="6837220F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26228C2B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3410DB90" w14:textId="77777777" w:rsidTr="00CA485C">
        <w:tc>
          <w:tcPr>
            <w:tcW w:w="3800" w:type="dxa"/>
          </w:tcPr>
          <w:p w14:paraId="2F8607AD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AUDITORS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43E14F5D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35AE829F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02D5CD74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Super Audits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5F379DC0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73ABBAF2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of</w:t>
            </w:r>
          </w:p>
          <w:p w14:paraId="1E2FD1D9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B923618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PO Box 3376, Rundle Mall, South Australia 5000</w:t>
            </w:r>
          </w:p>
          <w:p w14:paraId="2331FC67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4FACD269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auditors of the Fund for the next financial year.</w:t>
            </w:r>
          </w:p>
        </w:tc>
      </w:tr>
      <w:tr w:rsidR="00D3487E" w:rsidRPr="00DC70C0" w14:paraId="339BFF8F" w14:textId="77777777" w:rsidTr="00CA485C">
        <w:tc>
          <w:tcPr>
            <w:tcW w:w="3800" w:type="dxa"/>
          </w:tcPr>
          <w:p w14:paraId="05C3FFDA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4B3B0E2F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4CC65849" w14:textId="77777777" w:rsidTr="00CA485C">
        <w:tc>
          <w:tcPr>
            <w:tcW w:w="3800" w:type="dxa"/>
          </w:tcPr>
          <w:p w14:paraId="02A7ECAA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TAX AGENTS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7F2EF5D1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47995EBF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61D48DB1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Hfb Super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324CA401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413C98FF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tax agents of the Fund for the next financial year.</w:t>
            </w:r>
          </w:p>
        </w:tc>
      </w:tr>
      <w:tr w:rsidR="00D3487E" w:rsidRPr="00DC70C0" w14:paraId="6B2010C4" w14:textId="77777777" w:rsidTr="00CA485C">
        <w:tc>
          <w:tcPr>
            <w:tcW w:w="3800" w:type="dxa"/>
          </w:tcPr>
          <w:p w14:paraId="7035C6B4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6548" w:type="dxa"/>
          </w:tcPr>
          <w:p w14:paraId="5A14CD97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580A201E" w14:textId="77777777" w:rsidTr="00CA485C">
        <w:tc>
          <w:tcPr>
            <w:tcW w:w="3800" w:type="dxa"/>
          </w:tcPr>
          <w:p w14:paraId="48301328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 STATUS:</w:t>
            </w:r>
          </w:p>
        </w:tc>
        <w:tc>
          <w:tcPr>
            <w:tcW w:w="6548" w:type="dxa"/>
          </w:tcPr>
          <w:p w14:paraId="775BCB5B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Each of the trustee(s) confirmed that they are qualified to act as trustee(s)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 and that they are not disqualified persons as defined by s 120 of the SISA.</w:t>
            </w:r>
          </w:p>
          <w:p w14:paraId="17955C7F" w14:textId="77777777" w:rsidR="00D3487E" w:rsidRPr="00464C29" w:rsidRDefault="00D3487E" w:rsidP="007D1827">
            <w:pPr>
              <w:widowControl w:val="0"/>
              <w:tabs>
                <w:tab w:val="left" w:pos="-103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35EA5564" w14:textId="77777777" w:rsidTr="00CA485C">
        <w:tc>
          <w:tcPr>
            <w:tcW w:w="3800" w:type="dxa"/>
          </w:tcPr>
          <w:p w14:paraId="177F10A4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6548" w:type="dxa"/>
          </w:tcPr>
          <w:p w14:paraId="00AE3315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32B42B44" w14:textId="77777777" w:rsidTr="00CA485C">
        <w:tc>
          <w:tcPr>
            <w:tcW w:w="3800" w:type="dxa"/>
          </w:tcPr>
          <w:p w14:paraId="79DAAFF9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PAYMENT OF BENEFITS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559DD62C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 has ensured that any payment of benefits made from the Fund, meets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requirements of the Fund's deed and does not breach the superannuation laws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 relation to:</w:t>
            </w:r>
          </w:p>
          <w:p w14:paraId="232E336C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E777D1E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1. making payments to members; and,</w:t>
            </w:r>
          </w:p>
          <w:p w14:paraId="0907BB4C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30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08A90C75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2. breaching the Fund or the member investment strategy.</w:t>
            </w:r>
          </w:p>
          <w:p w14:paraId="584FA0AC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255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01D3BADC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 has reviewed the payment of the benefit and received advice that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transfer is in accordance with the Deed and the superannuation laws. As such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 has resolved to allow the payment of the benefits on behalf of the member.</w:t>
            </w:r>
          </w:p>
        </w:tc>
      </w:tr>
      <w:tr w:rsidR="00D3487E" w:rsidRPr="00DC70C0" w14:paraId="6C0AC5D1" w14:textId="77777777" w:rsidTr="00CA485C">
        <w:tc>
          <w:tcPr>
            <w:tcW w:w="3800" w:type="dxa"/>
          </w:tcPr>
          <w:p w14:paraId="44ECA307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45370D6C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14EA66C1" w14:textId="77777777" w:rsidTr="00CA485C">
        <w:tc>
          <w:tcPr>
            <w:tcW w:w="3800" w:type="dxa"/>
          </w:tcPr>
          <w:p w14:paraId="7453DE1B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548" w:type="dxa"/>
          </w:tcPr>
          <w:p w14:paraId="507CA353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Signed as a true record – </w:t>
            </w:r>
          </w:p>
          <w:p w14:paraId="5892882F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974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</w:p>
          <w:p w14:paraId="087F5589" w14:textId="77777777" w:rsidR="00D3487E" w:rsidRPr="00464C29" w:rsidRDefault="00D3487E" w:rsidP="007D1827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18010FCF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BC84406" w14:textId="77777777" w:rsidR="00AF637A" w:rsidRPr="00464C29" w:rsidRDefault="00D3487E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4CE6937D" w14:textId="77777777" w:rsidR="00D3487E" w:rsidRPr="00464C29" w:rsidRDefault="004C2A82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Janet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Pangrazio</w:t>
            </w:r>
            <w:r w:rsidR="00D3487E"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44B4FF3F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6EB0EFBF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7F74B108" w14:textId="77777777" w:rsidR="00C02081" w:rsidRPr="00BD024E" w:rsidRDefault="00C02081" w:rsidP="00BD024E">
      <w:pPr>
        <w:widowControl w:val="0"/>
        <w:tabs>
          <w:tab w:val="left" w:pos="1005"/>
          <w:tab w:val="left" w:pos="4375"/>
        </w:tabs>
        <w:autoSpaceDE w:val="0"/>
        <w:autoSpaceDN w:val="0"/>
        <w:adjustRightInd w:val="0"/>
        <w:rPr>
          <w:rFonts w:ascii="Helvetica" w:hAnsi="Helvetica"/>
          <w:sz w:val="16"/>
          <w:szCs w:val="16"/>
          <w:u w:val="double"/>
          <w:lang w:val="en-US"/>
        </w:rPr>
      </w:pPr>
    </w:p>
    <w:sectPr w:rsidR="00C02081" w:rsidRPr="00BD024E" w:rsidSect="00B760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624" w:right="301" w:bottom="992" w:left="1021" w:header="478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D937E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14:paraId="47651641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69739" w14:textId="77777777" w:rsidR="00BD39C5" w:rsidRDefault="00BD3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43B7C" w14:textId="77777777" w:rsidR="00BD39C5" w:rsidRDefault="00BD39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81C44" w14:textId="77777777" w:rsidR="00BD39C5" w:rsidRDefault="00BD3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B88594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14:paraId="3A3E00E1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47D46" w14:textId="77777777" w:rsidR="00BD39C5" w:rsidRDefault="00BD3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8584"/>
      <w:gridCol w:w="2024"/>
    </w:tblGrid>
    <w:tr w:rsidR="00CA485C" w14:paraId="6ECFD21B" w14:textId="77777777" w:rsidTr="00BD39C5">
      <w:trPr>
        <w:trHeight w:val="375"/>
      </w:trPr>
      <w:tc>
        <w:tcPr>
          <w:tcW w:w="8584" w:type="dxa"/>
        </w:tcPr>
        <w:p w14:paraId="562ECBC5" w14:textId="77777777" w:rsidR="00CA485C" w:rsidRPr="008D147F" w:rsidRDefault="00CA485C" w:rsidP="00A977E6">
          <w:pPr>
            <w:ind w:left="-100" w:right="-772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  <w:r w:rsidRPr="00FA164A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Memorandum of Resolutions of </w:t>
          </w:r>
          <w:r w:rsidRPr="00EB1628">
            <w:rPr>
              <w:rFonts w:ascii="Helvetica" w:hAnsi="Helvetica"/>
              <w:b/>
              <w:noProof/>
              <w:sz w:val="32"/>
              <w:szCs w:val="32"/>
            </w:rPr>
            <w:t>the Director(s) of</w:t>
          </w:r>
        </w:p>
      </w:tc>
      <w:tc>
        <w:tcPr>
          <w:tcW w:w="2024" w:type="dxa"/>
          <w:vMerge w:val="restart"/>
        </w:tcPr>
        <w:p w14:paraId="5C4C1BB5" w14:textId="77777777" w:rsidR="00CA485C" w:rsidRDefault="00CA485C" w:rsidP="00A977E6">
          <w:pPr>
            <w:ind w:right="-8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val="en-US" w:eastAsia="zh-CN"/>
            </w:rPr>
            <w:drawing>
              <wp:anchor distT="0" distB="0" distL="114300" distR="114300" simplePos="0" relativeHeight="251658240" behindDoc="0" locked="0" layoutInCell="1" allowOverlap="1" wp14:anchorId="1CD89E8B" wp14:editId="3D46F876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1752600" cy="981075"/>
                <wp:effectExtent l="0" t="0" r="0" b="0"/>
                <wp:wrapNone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98107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bookmarkEnd w:id="0"/>
        </w:p>
      </w:tc>
    </w:tr>
    <w:tr w:rsidR="00CA485C" w14:paraId="6D199030" w14:textId="77777777" w:rsidTr="00BD39C5">
      <w:trPr>
        <w:trHeight w:val="319"/>
      </w:trPr>
      <w:tc>
        <w:tcPr>
          <w:tcW w:w="8584" w:type="dxa"/>
        </w:tcPr>
        <w:p w14:paraId="35BC5078" w14:textId="77777777" w:rsidR="00CA485C" w:rsidRPr="00D14A59" w:rsidRDefault="00CA485C" w:rsidP="00A977E6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Janpan Pty Ltd</w:t>
          </w:r>
          <w:r>
            <w:rPr>
              <w:rFonts w:ascii="Helvetica" w:hAnsi="Helvetica"/>
              <w:b/>
              <w:noProof/>
              <w:sz w:val="22"/>
              <w:szCs w:val="22"/>
            </w:rPr>
            <w:t xml:space="preserve"> </w:t>
          </w: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ACN: 155485233</w:t>
          </w:r>
          <w:r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ab/>
          </w:r>
        </w:p>
      </w:tc>
      <w:tc>
        <w:tcPr>
          <w:tcW w:w="2024" w:type="dxa"/>
          <w:vMerge/>
        </w:tcPr>
        <w:p w14:paraId="1467CC69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CA485C" w14:paraId="3E0029F2" w14:textId="77777777" w:rsidTr="00BD39C5">
      <w:trPr>
        <w:trHeight w:val="236"/>
      </w:trPr>
      <w:tc>
        <w:tcPr>
          <w:tcW w:w="8584" w:type="dxa"/>
        </w:tcPr>
        <w:p w14:paraId="08BD7C8C" w14:textId="77777777" w:rsidR="00CA485C" w:rsidRDefault="00CA485C" w:rsidP="00A977E6">
          <w:pPr>
            <w:tabs>
              <w:tab w:val="left" w:pos="8244"/>
            </w:tabs>
            <w:ind w:left="-100" w:right="-768"/>
          </w:pPr>
          <w:r w:rsidRPr="00352608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ATF </w:t>
          </w:r>
          <w:r w:rsidRPr="00352608">
            <w:rPr>
              <w:rFonts w:ascii="Helvetica" w:hAnsi="Helvetica"/>
              <w:b/>
              <w:noProof/>
            </w:rPr>
            <w:t>D &amp; J PANGRAZIO SUPER FUND</w:t>
          </w:r>
        </w:p>
      </w:tc>
      <w:tc>
        <w:tcPr>
          <w:tcW w:w="2024" w:type="dxa"/>
          <w:vMerge/>
        </w:tcPr>
        <w:p w14:paraId="685FCB1E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CA485C" w14:paraId="20C129AB" w14:textId="77777777" w:rsidTr="00BD39C5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CA485C" w14:paraId="29473CB4" w14:textId="77777777" w:rsidTr="00CA485C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2755FFE8" w14:textId="77777777" w:rsidR="00CA485C" w:rsidRDefault="00CA485C" w:rsidP="00A977E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2CF07B91" w14:textId="77777777" w:rsidR="00CA485C" w:rsidRPr="00E40F90" w:rsidRDefault="00CA485C" w:rsidP="00A977E6">
          <w:pPr>
            <w:jc w:val="center"/>
            <w:rPr>
              <w:lang w:val="en-US"/>
            </w:rPr>
          </w:pPr>
        </w:p>
      </w:tc>
    </w:tr>
  </w:tbl>
  <w:p w14:paraId="2D683D3E" w14:textId="77777777" w:rsidR="00CA485C" w:rsidRPr="00CA485C" w:rsidRDefault="00CA485C" w:rsidP="00DD3E5D">
    <w:pPr>
      <w:pStyle w:val="Header"/>
      <w:tabs>
        <w:tab w:val="clear" w:pos="4513"/>
        <w:tab w:val="clear" w:pos="9026"/>
        <w:tab w:val="left" w:pos="528"/>
      </w:tabs>
      <w:rPr>
        <w:rFonts w:ascii="Helvetica" w:hAnsi="Helvetica" w:cs="Helvetica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068C3" w14:textId="77777777" w:rsidR="00BD39C5" w:rsidRDefault="00BD39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B508B9"/>
    <w:multiLevelType w:val="hybridMultilevel"/>
    <w:tmpl w:val="E7F09A44"/>
    <w:lvl w:ilvl="0" w:tplc="195081CC">
      <w:numFmt w:val="bullet"/>
      <w:lvlText w:val=""/>
      <w:lvlJc w:val="left"/>
      <w:pPr>
        <w:ind w:left="252" w:hanging="360"/>
      </w:pPr>
      <w:rPr>
        <w:rFonts w:ascii="Symbol" w:eastAsia="SimSun" w:hAnsi="Symbol" w:cs="Times New Roman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C5"/>
    <w:rsid w:val="00000E51"/>
    <w:rsid w:val="00032F61"/>
    <w:rsid w:val="000339FA"/>
    <w:rsid w:val="00044E6C"/>
    <w:rsid w:val="00051E29"/>
    <w:rsid w:val="000659E8"/>
    <w:rsid w:val="00081D4E"/>
    <w:rsid w:val="000B71CB"/>
    <w:rsid w:val="000C7ADD"/>
    <w:rsid w:val="000F492C"/>
    <w:rsid w:val="00131AFC"/>
    <w:rsid w:val="00152593"/>
    <w:rsid w:val="00170044"/>
    <w:rsid w:val="00181EF6"/>
    <w:rsid w:val="00182E93"/>
    <w:rsid w:val="001A5F29"/>
    <w:rsid w:val="001C3541"/>
    <w:rsid w:val="00204CD6"/>
    <w:rsid w:val="00213312"/>
    <w:rsid w:val="00260513"/>
    <w:rsid w:val="002A1E0B"/>
    <w:rsid w:val="002A4B09"/>
    <w:rsid w:val="002D7C70"/>
    <w:rsid w:val="002E170F"/>
    <w:rsid w:val="002E6915"/>
    <w:rsid w:val="002F1791"/>
    <w:rsid w:val="002F25F4"/>
    <w:rsid w:val="00300808"/>
    <w:rsid w:val="00326662"/>
    <w:rsid w:val="0033174E"/>
    <w:rsid w:val="00352608"/>
    <w:rsid w:val="00357295"/>
    <w:rsid w:val="003A2551"/>
    <w:rsid w:val="003B14FA"/>
    <w:rsid w:val="003E2C35"/>
    <w:rsid w:val="003F2E79"/>
    <w:rsid w:val="003F57A0"/>
    <w:rsid w:val="0043380B"/>
    <w:rsid w:val="00434F03"/>
    <w:rsid w:val="004635A4"/>
    <w:rsid w:val="00464A4D"/>
    <w:rsid w:val="00464C29"/>
    <w:rsid w:val="00483CDC"/>
    <w:rsid w:val="00491578"/>
    <w:rsid w:val="004A13D0"/>
    <w:rsid w:val="004C2A82"/>
    <w:rsid w:val="004C5E4E"/>
    <w:rsid w:val="004D0446"/>
    <w:rsid w:val="00516200"/>
    <w:rsid w:val="00533A60"/>
    <w:rsid w:val="00547574"/>
    <w:rsid w:val="00553133"/>
    <w:rsid w:val="00573956"/>
    <w:rsid w:val="00575381"/>
    <w:rsid w:val="00582A95"/>
    <w:rsid w:val="005A5B5D"/>
    <w:rsid w:val="005B54B7"/>
    <w:rsid w:val="00611FA9"/>
    <w:rsid w:val="0062021F"/>
    <w:rsid w:val="00624834"/>
    <w:rsid w:val="00635C9F"/>
    <w:rsid w:val="0064490F"/>
    <w:rsid w:val="00665AA4"/>
    <w:rsid w:val="00672AAD"/>
    <w:rsid w:val="00677FC7"/>
    <w:rsid w:val="006E6618"/>
    <w:rsid w:val="006F2FDC"/>
    <w:rsid w:val="00701AAD"/>
    <w:rsid w:val="00702A82"/>
    <w:rsid w:val="00710B07"/>
    <w:rsid w:val="00720E16"/>
    <w:rsid w:val="00733176"/>
    <w:rsid w:val="007416C3"/>
    <w:rsid w:val="0074203C"/>
    <w:rsid w:val="00744256"/>
    <w:rsid w:val="007606C2"/>
    <w:rsid w:val="00761B7C"/>
    <w:rsid w:val="007A0DFE"/>
    <w:rsid w:val="007D1827"/>
    <w:rsid w:val="007D2874"/>
    <w:rsid w:val="007E6033"/>
    <w:rsid w:val="008137C9"/>
    <w:rsid w:val="00850348"/>
    <w:rsid w:val="00851F10"/>
    <w:rsid w:val="00871606"/>
    <w:rsid w:val="00887063"/>
    <w:rsid w:val="008878E5"/>
    <w:rsid w:val="008B7E1A"/>
    <w:rsid w:val="008C5354"/>
    <w:rsid w:val="00925ACA"/>
    <w:rsid w:val="00930FB1"/>
    <w:rsid w:val="009568B9"/>
    <w:rsid w:val="009A2A38"/>
    <w:rsid w:val="009B297F"/>
    <w:rsid w:val="009D39A7"/>
    <w:rsid w:val="009E0079"/>
    <w:rsid w:val="00A27C33"/>
    <w:rsid w:val="00A36570"/>
    <w:rsid w:val="00A3688C"/>
    <w:rsid w:val="00A5415A"/>
    <w:rsid w:val="00A564F6"/>
    <w:rsid w:val="00A97465"/>
    <w:rsid w:val="00A977E6"/>
    <w:rsid w:val="00AA1B09"/>
    <w:rsid w:val="00AB4198"/>
    <w:rsid w:val="00AB69C5"/>
    <w:rsid w:val="00AF637A"/>
    <w:rsid w:val="00B11E6C"/>
    <w:rsid w:val="00B30FA4"/>
    <w:rsid w:val="00B3106A"/>
    <w:rsid w:val="00B37908"/>
    <w:rsid w:val="00B647B5"/>
    <w:rsid w:val="00B7608E"/>
    <w:rsid w:val="00B76239"/>
    <w:rsid w:val="00B86851"/>
    <w:rsid w:val="00B92F58"/>
    <w:rsid w:val="00B93BA5"/>
    <w:rsid w:val="00BA2138"/>
    <w:rsid w:val="00BA643C"/>
    <w:rsid w:val="00BB6926"/>
    <w:rsid w:val="00BC5D3B"/>
    <w:rsid w:val="00BD024E"/>
    <w:rsid w:val="00BD39C5"/>
    <w:rsid w:val="00BD53FE"/>
    <w:rsid w:val="00BE18A1"/>
    <w:rsid w:val="00C02081"/>
    <w:rsid w:val="00C70F6B"/>
    <w:rsid w:val="00C81BC2"/>
    <w:rsid w:val="00C923D9"/>
    <w:rsid w:val="00CA485C"/>
    <w:rsid w:val="00CE1F1E"/>
    <w:rsid w:val="00CE396C"/>
    <w:rsid w:val="00CF1F75"/>
    <w:rsid w:val="00CF50DD"/>
    <w:rsid w:val="00D10041"/>
    <w:rsid w:val="00D30876"/>
    <w:rsid w:val="00D31689"/>
    <w:rsid w:val="00D3487E"/>
    <w:rsid w:val="00D40898"/>
    <w:rsid w:val="00D72D6F"/>
    <w:rsid w:val="00DD3E5D"/>
    <w:rsid w:val="00DE16EF"/>
    <w:rsid w:val="00E25193"/>
    <w:rsid w:val="00E33FE1"/>
    <w:rsid w:val="00E40F90"/>
    <w:rsid w:val="00E460E1"/>
    <w:rsid w:val="00E52FCD"/>
    <w:rsid w:val="00E800A0"/>
    <w:rsid w:val="00E87609"/>
    <w:rsid w:val="00E96B21"/>
    <w:rsid w:val="00EB1628"/>
    <w:rsid w:val="00ED609A"/>
    <w:rsid w:val="00ED6E87"/>
    <w:rsid w:val="00F16352"/>
    <w:rsid w:val="00F67A04"/>
    <w:rsid w:val="00F74504"/>
    <w:rsid w:val="00F82AAD"/>
    <w:rsid w:val="00FA12B3"/>
    <w:rsid w:val="00FA164A"/>
    <w:rsid w:val="00FA549D"/>
    <w:rsid w:val="00FB45EA"/>
    <w:rsid w:val="00FB69B1"/>
    <w:rsid w:val="00FD770E"/>
    <w:rsid w:val="00FE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87F2313"/>
  <w15:docId w15:val="{9A6BC1CC-7FE0-48AE-8F80-633CEDBD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898"/>
  </w:style>
  <w:style w:type="paragraph" w:styleId="Heading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F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1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2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AAD"/>
  </w:style>
  <w:style w:type="paragraph" w:styleId="Footer">
    <w:name w:val="footer"/>
    <w:basedOn w:val="Normal"/>
    <w:link w:val="Foot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AAD"/>
  </w:style>
  <w:style w:type="table" w:customStyle="1" w:styleId="TableGrid1">
    <w:name w:val="Table Grid1"/>
    <w:basedOn w:val="TableNormal"/>
    <w:next w:val="TableGrid"/>
    <w:uiPriority w:val="59"/>
    <w:rsid w:val="00E40F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31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68000-5D21-471C-A738-E1C8F606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Chau Le</dc:creator>
  <dc:description>Gnostice eDocEngine V2.5 (www.gnostice.com)</dc:description>
  <cp:lastModifiedBy>Catherine Morse</cp:lastModifiedBy>
  <cp:revision>2</cp:revision>
  <dcterms:created xsi:type="dcterms:W3CDTF">2020-10-11T23:29:00Z</dcterms:created>
  <dcterms:modified xsi:type="dcterms:W3CDTF">2020-10-11T23:29:00Z</dcterms:modified>
</cp:coreProperties>
</file>