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6E" w:rsidRDefault="00D55D7A">
      <w:r>
        <w:t xml:space="preserve">NTAA </w:t>
      </w:r>
      <w:proofErr w:type="gramStart"/>
      <w:r>
        <w:t>Advice  09.03.2018</w:t>
      </w:r>
      <w:proofErr w:type="gramEnd"/>
    </w:p>
    <w:p w:rsidR="00D55D7A" w:rsidRDefault="00D55D7A">
      <w:r>
        <w:t xml:space="preserve">Vanessa </w:t>
      </w:r>
    </w:p>
    <w:p w:rsidR="00D55D7A" w:rsidRDefault="00D55D7A">
      <w:r>
        <w:t>SMSF</w:t>
      </w:r>
    </w:p>
    <w:p w:rsidR="00D55D7A" w:rsidRDefault="00D55D7A">
      <w:r>
        <w:t>Where the deposit is held for a residential property (including off the plan) it is not yet an investment in the super fund as such, the beneficial ownership doesn’t transfer until settlement, so the asset does not need to be brought in against a liability in the accounts.  Also and therefore there is no need to have this ‘deposit’ revalued in the fund.</w:t>
      </w:r>
    </w:p>
    <w:sectPr w:rsidR="00D55D7A" w:rsidSect="008D186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5D7A"/>
    <w:rsid w:val="008D186E"/>
    <w:rsid w:val="00D55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8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Thimm</dc:creator>
  <cp:lastModifiedBy>Mark Thimm</cp:lastModifiedBy>
  <cp:revision>1</cp:revision>
  <dcterms:created xsi:type="dcterms:W3CDTF">2018-03-09T00:17:00Z</dcterms:created>
  <dcterms:modified xsi:type="dcterms:W3CDTF">2018-03-09T00:21:00Z</dcterms:modified>
</cp:coreProperties>
</file>