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3DDA1" w14:textId="77777777" w:rsidR="008878E5" w:rsidRPr="008878E5" w:rsidRDefault="008878E5">
      <w:pPr>
        <w:rPr>
          <w:sz w:val="10"/>
          <w:szCs w:val="10"/>
        </w:r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00"/>
        <w:gridCol w:w="6548"/>
      </w:tblGrid>
      <w:tr w:rsidR="00142737" w14:paraId="5611EEFB" w14:textId="77777777" w:rsidTr="00CA485C">
        <w:tc>
          <w:tcPr>
            <w:tcW w:w="3800" w:type="dxa"/>
          </w:tcPr>
          <w:p w14:paraId="06BA6A72" w14:textId="77777777" w:rsidR="007A0DFE" w:rsidRDefault="007A0DFE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14:paraId="38923BC1" w14:textId="77777777" w:rsidR="00D3487E" w:rsidRPr="00720E16" w:rsidRDefault="00A37DB6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FINANCIAL STATEMENTS OF SUPERANNUATION FUND:</w:t>
            </w:r>
          </w:p>
        </w:tc>
        <w:tc>
          <w:tcPr>
            <w:tcW w:w="6548" w:type="dxa"/>
          </w:tcPr>
          <w:p w14:paraId="5D0B389F" w14:textId="77777777" w:rsidR="007A0DFE" w:rsidRDefault="007A0DFE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2881FFB" w14:textId="77777777" w:rsidR="00D3487E" w:rsidRPr="00464C29" w:rsidRDefault="00A37DB6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financial statements would be prepared as special purpose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statements as, in the opinion of the trustee(s), the superannuation fund is a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non-reporting entity and therefore is not required to comply with all Australian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Accounting Standards.</w:t>
            </w:r>
          </w:p>
          <w:p w14:paraId="0B3F891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1F7B3E4E" w14:textId="77777777" w:rsidR="00D3487E" w:rsidRPr="00464C29" w:rsidRDefault="00A37DB6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Chair tabled the financial statements and notes to the financial statements of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superannuation fund in respect of the year ended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2021</w:t>
            </w:r>
            <w:r w:rsidR="000C7ADD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and it was resolved that such statements be and are hereby adopted as tabled. </w:t>
            </w:r>
          </w:p>
        </w:tc>
      </w:tr>
      <w:tr w:rsidR="00142737" w14:paraId="5D32EAA7" w14:textId="77777777" w:rsidTr="00CA485C">
        <w:trPr>
          <w:trHeight w:val="42"/>
        </w:trPr>
        <w:tc>
          <w:tcPr>
            <w:tcW w:w="3800" w:type="dxa"/>
          </w:tcPr>
          <w:p w14:paraId="0909F951" w14:textId="77777777" w:rsidR="00D31689" w:rsidRPr="00720E1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5EAE3BA4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42737" w14:paraId="0733A838" w14:textId="77777777" w:rsidTr="00CA485C">
        <w:tc>
          <w:tcPr>
            <w:tcW w:w="3800" w:type="dxa"/>
          </w:tcPr>
          <w:p w14:paraId="0560EDFA" w14:textId="77777777" w:rsidR="00D3487E" w:rsidRPr="00720E16" w:rsidRDefault="00A37DB6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TRUSTEE'S DECLARATION:</w:t>
            </w:r>
          </w:p>
        </w:tc>
        <w:tc>
          <w:tcPr>
            <w:tcW w:w="6548" w:type="dxa"/>
          </w:tcPr>
          <w:p w14:paraId="7296331C" w14:textId="77777777" w:rsidR="00D3487E" w:rsidRPr="00464C29" w:rsidRDefault="00A37DB6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trustee’s declaration of the superannuation fund be signed.</w:t>
            </w:r>
          </w:p>
        </w:tc>
      </w:tr>
      <w:tr w:rsidR="00142737" w14:paraId="166BEFD3" w14:textId="77777777" w:rsidTr="00CA485C">
        <w:tc>
          <w:tcPr>
            <w:tcW w:w="3800" w:type="dxa"/>
          </w:tcPr>
          <w:p w14:paraId="63C9274F" w14:textId="77777777" w:rsidR="00D31689" w:rsidRPr="00720E1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8"/>
                <w:szCs w:val="18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36F60007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42737" w14:paraId="2C9AC510" w14:textId="77777777" w:rsidTr="00CA485C">
        <w:tc>
          <w:tcPr>
            <w:tcW w:w="3800" w:type="dxa"/>
          </w:tcPr>
          <w:p w14:paraId="45DC3EFA" w14:textId="77777777" w:rsidR="00D3487E" w:rsidRPr="00720E16" w:rsidRDefault="00A37DB6" w:rsidP="00A36570">
            <w:pPr>
              <w:widowControl w:val="0"/>
              <w:tabs>
                <w:tab w:val="left" w:pos="4144"/>
                <w:tab w:val="left" w:pos="4428"/>
              </w:tabs>
              <w:autoSpaceDE w:val="0"/>
              <w:autoSpaceDN w:val="0"/>
              <w:adjustRightInd w:val="0"/>
              <w:spacing w:line="276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ANNUAL RETURN:</w:t>
            </w:r>
          </w:p>
        </w:tc>
        <w:tc>
          <w:tcPr>
            <w:tcW w:w="6548" w:type="dxa"/>
          </w:tcPr>
          <w:p w14:paraId="2D68E80B" w14:textId="77777777" w:rsidR="00D3487E" w:rsidRPr="00464C29" w:rsidRDefault="00A37DB6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Being satisfied that the fund had complied with the requirements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Superannuation Industry (Supervision) Act 1993 (SISA) and Regulations during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year 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2021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, it was resolved that the annual return be approved, signed and lodged with the Australian Taxation Office.</w:t>
            </w:r>
          </w:p>
        </w:tc>
      </w:tr>
      <w:tr w:rsidR="00142737" w14:paraId="64ACBB47" w14:textId="77777777" w:rsidTr="00CA485C">
        <w:tc>
          <w:tcPr>
            <w:tcW w:w="3800" w:type="dxa"/>
          </w:tcPr>
          <w:p w14:paraId="4886D333" w14:textId="77777777" w:rsidR="00D31689" w:rsidRPr="00720E1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776123F1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42737" w14:paraId="47C31052" w14:textId="77777777" w:rsidTr="00CA485C">
        <w:tc>
          <w:tcPr>
            <w:tcW w:w="3800" w:type="dxa"/>
          </w:tcPr>
          <w:p w14:paraId="51996DD5" w14:textId="77777777" w:rsidR="00D3487E" w:rsidRPr="00720E16" w:rsidRDefault="00A37DB6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548" w:type="dxa"/>
          </w:tcPr>
          <w:p w14:paraId="06175275" w14:textId="77777777" w:rsidR="00D3487E" w:rsidRPr="00464C29" w:rsidRDefault="00A37DB6" w:rsidP="00464C29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allocation of the fund’s assets and the fund’s investment performance over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financial year were reviewed and found to be within the acceptable ranges outlined in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investment strategy. After considering the risk, rate of return and liquidity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investments and the ability of the fund to discharge its existing liabilities, it was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resolved that the investment strategy continues to reflect the purposes and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circumstances of the fund and its members. Accordingly, no changes in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strategy were required.</w:t>
            </w:r>
          </w:p>
        </w:tc>
      </w:tr>
      <w:tr w:rsidR="00142737" w14:paraId="12ACAD7D" w14:textId="77777777" w:rsidTr="00CA485C">
        <w:tc>
          <w:tcPr>
            <w:tcW w:w="3800" w:type="dxa"/>
          </w:tcPr>
          <w:p w14:paraId="2155EE03" w14:textId="77777777" w:rsidR="00D31689" w:rsidRPr="00720E16" w:rsidRDefault="00D31689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</w:p>
        </w:tc>
        <w:tc>
          <w:tcPr>
            <w:tcW w:w="6548" w:type="dxa"/>
          </w:tcPr>
          <w:p w14:paraId="7898A2DB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42737" w14:paraId="77DDF6DA" w14:textId="77777777" w:rsidTr="00CA485C">
        <w:tc>
          <w:tcPr>
            <w:tcW w:w="3800" w:type="dxa"/>
          </w:tcPr>
          <w:p w14:paraId="058846B1" w14:textId="77777777" w:rsidR="00D3487E" w:rsidRPr="00720E16" w:rsidRDefault="00A37DB6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INSURANCE COVER:</w:t>
            </w:r>
          </w:p>
        </w:tc>
        <w:tc>
          <w:tcPr>
            <w:tcW w:w="6548" w:type="dxa"/>
          </w:tcPr>
          <w:p w14:paraId="580CA334" w14:textId="77777777" w:rsidR="00D3487E" w:rsidRPr="00464C29" w:rsidRDefault="00A37DB6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trustee(s) reviewed the current life and total and permanent disability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coverage on offer to the members and resolved that the current insurance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arrangements were appropriate for the fund.</w:t>
            </w:r>
          </w:p>
        </w:tc>
      </w:tr>
      <w:tr w:rsidR="00142737" w14:paraId="0A3707A8" w14:textId="77777777" w:rsidTr="00CA485C">
        <w:tc>
          <w:tcPr>
            <w:tcW w:w="3800" w:type="dxa"/>
          </w:tcPr>
          <w:p w14:paraId="1953F7CB" w14:textId="77777777" w:rsidR="00D31689" w:rsidRPr="00720E1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4555DE1E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42737" w14:paraId="5A84256B" w14:textId="77777777" w:rsidTr="00CA485C">
        <w:tc>
          <w:tcPr>
            <w:tcW w:w="3800" w:type="dxa"/>
          </w:tcPr>
          <w:p w14:paraId="7C2D7AF0" w14:textId="77777777" w:rsidR="00D3487E" w:rsidRPr="00720E16" w:rsidRDefault="00A37DB6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ALLOCATION OF INCOME:</w:t>
            </w:r>
          </w:p>
        </w:tc>
        <w:tc>
          <w:tcPr>
            <w:tcW w:w="6548" w:type="dxa"/>
          </w:tcPr>
          <w:p w14:paraId="77D25141" w14:textId="01882218" w:rsidR="00D3487E" w:rsidRPr="00464C29" w:rsidRDefault="00A37DB6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 the income of the fund would be allocated to the members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based on their average daily balance (an alternative allocation basis may be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percentage of opening balance).</w:t>
            </w:r>
          </w:p>
        </w:tc>
      </w:tr>
      <w:tr w:rsidR="00142737" w14:paraId="734834F9" w14:textId="77777777" w:rsidTr="00CA485C">
        <w:tc>
          <w:tcPr>
            <w:tcW w:w="3800" w:type="dxa"/>
          </w:tcPr>
          <w:p w14:paraId="1A9C6EFD" w14:textId="77777777" w:rsidR="00D31689" w:rsidRPr="00720E1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E5A8FB6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42737" w14:paraId="48F38834" w14:textId="77777777" w:rsidTr="00CA485C">
        <w:tc>
          <w:tcPr>
            <w:tcW w:w="3800" w:type="dxa"/>
          </w:tcPr>
          <w:p w14:paraId="3425180A" w14:textId="77777777" w:rsidR="00D3487E" w:rsidRPr="00720E16" w:rsidRDefault="00A37DB6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ACQUISITIONS:</w:t>
            </w:r>
          </w:p>
        </w:tc>
        <w:tc>
          <w:tcPr>
            <w:tcW w:w="6548" w:type="dxa"/>
          </w:tcPr>
          <w:p w14:paraId="2A39EF8E" w14:textId="750427D5" w:rsidR="00A37DB6" w:rsidRDefault="00A37DB6" w:rsidP="00A37DB6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noted that during the year the Trustees decided to invest in a second property at 86 Staatz Quarry Road, Regency Downs</w:t>
            </w:r>
            <w:r w:rsidR="0000476A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for a contract price of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$250,000. </w:t>
            </w:r>
          </w:p>
          <w:p w14:paraId="0BA7DF60" w14:textId="77777777" w:rsidR="00A37DB6" w:rsidRDefault="00A37DB6" w:rsidP="00A37DB6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42310F9C" w14:textId="413DEB93" w:rsidR="00A37DB6" w:rsidRDefault="00A37DB6" w:rsidP="00A37DB6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The Trustees considered this investment acquisition to be appropriate for the Fund and noted that they:</w:t>
            </w:r>
          </w:p>
          <w:p w14:paraId="3A7D20C1" w14:textId="5DD48376" w:rsidR="00A37DB6" w:rsidRPr="00E43BAA" w:rsidRDefault="00A37DB6" w:rsidP="00A37DB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wish to vary the Fund’s investment strategy to include an investment range of 50-100% for Direct Property;</w:t>
            </w:r>
          </w:p>
          <w:p w14:paraId="6D5E5012" w14:textId="77777777" w:rsidR="00A37DB6" w:rsidRPr="00B165EE" w:rsidRDefault="00A37DB6" w:rsidP="00A37DB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is in accordance with the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Investment Objectives of the current I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nvestment 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</w:t>
            </w:r>
            <w:r w:rsidRPr="00B32771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trateg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y of the Fund; and </w:t>
            </w:r>
          </w:p>
          <w:p w14:paraId="5632B913" w14:textId="77777777" w:rsidR="00A37DB6" w:rsidRPr="00E43BAA" w:rsidRDefault="00A37DB6" w:rsidP="00A37DB6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E43BAA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does not breach any Superannuation Laws.</w:t>
            </w:r>
          </w:p>
          <w:p w14:paraId="6DD779BF" w14:textId="77777777" w:rsidR="00A37DB6" w:rsidRDefault="00A37DB6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0E17FA8C" w14:textId="7E667B1C" w:rsidR="00D3487E" w:rsidRPr="00464C29" w:rsidRDefault="00A37DB6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to ratify the investment acquisitions throughout the financial year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ended </w:t>
            </w:r>
            <w:r w:rsidRPr="00464C29">
              <w:rPr>
                <w:rFonts w:ascii="Helvetica" w:hAnsi="Helvetica"/>
                <w:noProof/>
                <w:color w:val="000000"/>
                <w:sz w:val="18"/>
                <w:szCs w:val="18"/>
                <w:lang w:val="en-US"/>
              </w:rPr>
              <w:t>30 June 2021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</w:tc>
      </w:tr>
      <w:tr w:rsidR="00142737" w14:paraId="2860D292" w14:textId="77777777" w:rsidTr="00CA485C">
        <w:tc>
          <w:tcPr>
            <w:tcW w:w="3800" w:type="dxa"/>
          </w:tcPr>
          <w:p w14:paraId="41BD0756" w14:textId="77777777" w:rsidR="00D31689" w:rsidRPr="00720E1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6548" w:type="dxa"/>
          </w:tcPr>
          <w:p w14:paraId="0BCF3CEC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42737" w14:paraId="5ED72CF3" w14:textId="77777777" w:rsidTr="00CA485C">
        <w:tc>
          <w:tcPr>
            <w:tcW w:w="3800" w:type="dxa"/>
          </w:tcPr>
          <w:p w14:paraId="257B04A8" w14:textId="77777777" w:rsidR="00D3487E" w:rsidRPr="00720E16" w:rsidRDefault="00A37DB6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AUDITORS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7B6E5DCB" w14:textId="77777777" w:rsidR="00D3487E" w:rsidRPr="00464C29" w:rsidRDefault="00A37DB6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541140DC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4F22B8A" w14:textId="77777777" w:rsidR="00D3487E" w:rsidRPr="00464C29" w:rsidRDefault="00A37DB6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Super Audits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497D0B06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5D1CC05E" w14:textId="77777777" w:rsidR="00D3487E" w:rsidRPr="00464C29" w:rsidRDefault="00A37DB6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of</w:t>
            </w:r>
          </w:p>
          <w:p w14:paraId="330CB22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091BAAD6" w14:textId="77777777" w:rsidR="00D3487E" w:rsidRPr="00464C29" w:rsidRDefault="00A37DB6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PO Box 3376, Rundle Mall, South Australia 5000</w:t>
            </w:r>
          </w:p>
          <w:p w14:paraId="0575825A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816696D" w14:textId="77777777" w:rsidR="00D3487E" w:rsidRPr="00464C29" w:rsidRDefault="00A37DB6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auditors of the Fund for the next financial year.</w:t>
            </w:r>
          </w:p>
        </w:tc>
      </w:tr>
      <w:tr w:rsidR="00142737" w14:paraId="78904714" w14:textId="77777777" w:rsidTr="00CA485C">
        <w:tc>
          <w:tcPr>
            <w:tcW w:w="3800" w:type="dxa"/>
          </w:tcPr>
          <w:p w14:paraId="7FE44283" w14:textId="77777777" w:rsidR="00D31689" w:rsidRPr="00720E1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72D88C6E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A37DB6" w14:paraId="304F97DA" w14:textId="77777777" w:rsidTr="00CA485C">
        <w:tc>
          <w:tcPr>
            <w:tcW w:w="3800" w:type="dxa"/>
          </w:tcPr>
          <w:p w14:paraId="14348321" w14:textId="77777777" w:rsidR="00A37DB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</w:p>
          <w:p w14:paraId="6E6A6DBA" w14:textId="77777777" w:rsidR="00A37DB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</w:p>
          <w:p w14:paraId="760F0872" w14:textId="3D973F76" w:rsidR="00A37DB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 w:cs="Helvetica"/>
                <w:b/>
                <w:bCs/>
                <w:sz w:val="18"/>
                <w:szCs w:val="18"/>
              </w:rPr>
            </w:pPr>
          </w:p>
        </w:tc>
        <w:tc>
          <w:tcPr>
            <w:tcW w:w="6548" w:type="dxa"/>
          </w:tcPr>
          <w:p w14:paraId="39C4070F" w14:textId="77777777" w:rsidR="00A37DB6" w:rsidRPr="00464C29" w:rsidRDefault="00A37DB6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42737" w14:paraId="0819FFDB" w14:textId="77777777" w:rsidTr="00CA485C">
        <w:tc>
          <w:tcPr>
            <w:tcW w:w="3800" w:type="dxa"/>
          </w:tcPr>
          <w:p w14:paraId="5203B27D" w14:textId="77777777" w:rsidR="00D3487E" w:rsidRPr="00720E16" w:rsidRDefault="00A37DB6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lastRenderedPageBreak/>
              <w:t>TAX AGENTS</w:t>
            </w:r>
            <w:r w:rsidR="00A977E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:</w:t>
            </w:r>
          </w:p>
        </w:tc>
        <w:tc>
          <w:tcPr>
            <w:tcW w:w="6548" w:type="dxa"/>
          </w:tcPr>
          <w:p w14:paraId="72E358B9" w14:textId="77777777" w:rsidR="00D3487E" w:rsidRPr="00464C29" w:rsidRDefault="00A37DB6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 was resolved that</w:t>
            </w:r>
          </w:p>
          <w:p w14:paraId="16CF9FF4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3638191A" w14:textId="77777777" w:rsidR="00D3487E" w:rsidRPr="00464C29" w:rsidRDefault="00A37DB6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HFB Super Pty Ltd</w:t>
            </w:r>
            <w:r w:rsidR="000C7ADD"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</w:p>
          <w:p w14:paraId="2127BC89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14:paraId="0C788F31" w14:textId="77777777" w:rsidR="00D3487E" w:rsidRPr="00464C29" w:rsidRDefault="00A37DB6" w:rsidP="007D1827">
            <w:pPr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act as tax agents of the Fund for the next financial year.</w:t>
            </w:r>
          </w:p>
        </w:tc>
      </w:tr>
      <w:tr w:rsidR="00142737" w14:paraId="7B1E3F3E" w14:textId="77777777" w:rsidTr="00CA485C">
        <w:tc>
          <w:tcPr>
            <w:tcW w:w="3800" w:type="dxa"/>
          </w:tcPr>
          <w:p w14:paraId="687918BF" w14:textId="77777777" w:rsidR="00D31689" w:rsidRPr="00720E1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548" w:type="dxa"/>
          </w:tcPr>
          <w:p w14:paraId="08B74D54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42737" w14:paraId="3453219E" w14:textId="77777777" w:rsidTr="00CA485C">
        <w:tc>
          <w:tcPr>
            <w:tcW w:w="3800" w:type="dxa"/>
          </w:tcPr>
          <w:p w14:paraId="526D2269" w14:textId="77777777" w:rsidR="00D3487E" w:rsidRPr="00720E16" w:rsidRDefault="00A37DB6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TRUSTEE STATUS:</w:t>
            </w:r>
          </w:p>
        </w:tc>
        <w:tc>
          <w:tcPr>
            <w:tcW w:w="6548" w:type="dxa"/>
          </w:tcPr>
          <w:p w14:paraId="3FCDFDC5" w14:textId="77777777" w:rsidR="00D3487E" w:rsidRPr="00464C29" w:rsidRDefault="00A37DB6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Each of the trustee(s) confirmed that they are qualified to act as trustee(s) of the</w:t>
            </w:r>
            <w:r w:rsidR="000C7ADD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fund and that they are not disqualified persons as defined by s 120 of the SISA.</w:t>
            </w:r>
          </w:p>
          <w:p w14:paraId="5C8D506C" w14:textId="77777777" w:rsidR="00D3487E" w:rsidRPr="00464C29" w:rsidRDefault="00D3487E" w:rsidP="007D1827">
            <w:pPr>
              <w:widowControl w:val="0"/>
              <w:tabs>
                <w:tab w:val="left" w:pos="-103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42737" w14:paraId="4E084829" w14:textId="77777777" w:rsidTr="00CA485C">
        <w:tc>
          <w:tcPr>
            <w:tcW w:w="3800" w:type="dxa"/>
          </w:tcPr>
          <w:p w14:paraId="743D70D4" w14:textId="77777777" w:rsidR="00D31689" w:rsidRPr="00720E16" w:rsidRDefault="00A37DB6" w:rsidP="00170044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6548" w:type="dxa"/>
          </w:tcPr>
          <w:p w14:paraId="741E6B53" w14:textId="77777777" w:rsidR="00D3487E" w:rsidRPr="00464C29" w:rsidRDefault="00D3487E" w:rsidP="007D1827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</w:p>
        </w:tc>
      </w:tr>
      <w:tr w:rsidR="00142737" w14:paraId="5D01A40C" w14:textId="77777777" w:rsidTr="00CA485C">
        <w:tc>
          <w:tcPr>
            <w:tcW w:w="3800" w:type="dxa"/>
          </w:tcPr>
          <w:p w14:paraId="2EC53439" w14:textId="77777777" w:rsidR="00D3487E" w:rsidRPr="00720E16" w:rsidRDefault="00A37DB6" w:rsidP="00A36570">
            <w:pPr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sz w:val="18"/>
                <w:szCs w:val="18"/>
                <w:lang w:val="en-US"/>
              </w:rPr>
            </w:pPr>
            <w:r w:rsidRPr="00720E16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548" w:type="dxa"/>
          </w:tcPr>
          <w:p w14:paraId="5E7134B0" w14:textId="77777777" w:rsidR="00D3487E" w:rsidRPr="00464C29" w:rsidRDefault="00A37DB6" w:rsidP="007D1827">
            <w:pPr>
              <w:widowControl w:val="0"/>
              <w:tabs>
                <w:tab w:val="left" w:pos="1005"/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Signed as a true record – </w:t>
            </w:r>
          </w:p>
          <w:p w14:paraId="37FF36CE" w14:textId="77777777" w:rsidR="00D3487E" w:rsidRPr="00464C29" w:rsidRDefault="00A37DB6" w:rsidP="007D1827">
            <w:pPr>
              <w:widowControl w:val="0"/>
              <w:autoSpaceDE w:val="0"/>
              <w:autoSpaceDN w:val="0"/>
              <w:adjustRightInd w:val="0"/>
              <w:spacing w:line="974" w:lineRule="exact"/>
              <w:ind w:left="-108"/>
              <w:rPr>
                <w:rFonts w:ascii="Helvetica" w:hAnsi="Helvetica"/>
                <w:sz w:val="18"/>
                <w:szCs w:val="18"/>
                <w:lang w:val="en-US"/>
              </w:rPr>
            </w:pP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  <w:r w:rsidRPr="00464C29">
              <w:rPr>
                <w:rFonts w:ascii="Helvetica" w:hAnsi="Helvetica"/>
                <w:sz w:val="18"/>
                <w:szCs w:val="18"/>
                <w:lang w:val="en-US"/>
              </w:rPr>
              <w:tab/>
            </w:r>
          </w:p>
          <w:p w14:paraId="54E641C5" w14:textId="77777777" w:rsidR="00D3487E" w:rsidRPr="00464C29" w:rsidRDefault="00D3487E" w:rsidP="007D1827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2076009B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14:paraId="6A01EC35" w14:textId="77777777" w:rsidR="00AF637A" w:rsidRPr="00464C29" w:rsidRDefault="00A37DB6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66CFAC68" w14:textId="77777777" w:rsidR="00D3487E" w:rsidRPr="00464C29" w:rsidRDefault="00A37DB6" w:rsidP="007D1827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noProof/>
                <w:sz w:val="18"/>
                <w:szCs w:val="18"/>
              </w:rPr>
              <w:t>Neil</w:t>
            </w:r>
            <w:r>
              <w:rPr>
                <w:rFonts w:ascii="Helvetica" w:hAnsi="Helvetica"/>
                <w:noProof/>
                <w:sz w:val="18"/>
                <w:szCs w:val="18"/>
              </w:rPr>
              <w:t xml:space="preserve"> </w:t>
            </w:r>
            <w:r w:rsidRPr="00464C29">
              <w:rPr>
                <w:rFonts w:ascii="Helvetica" w:hAnsi="Helvetica"/>
                <w:noProof/>
                <w:sz w:val="18"/>
                <w:szCs w:val="18"/>
              </w:rPr>
              <w:t>Harrison</w:t>
            </w:r>
            <w:r w:rsidRPr="00464C2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br/>
            </w:r>
          </w:p>
          <w:p w14:paraId="4815F4FC" w14:textId="77777777" w:rsidR="00D3487E" w:rsidRPr="00464C29" w:rsidRDefault="00D3487E" w:rsidP="0064490F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</w:rPr>
            </w:pPr>
          </w:p>
          <w:p w14:paraId="0D645445" w14:textId="77777777" w:rsidR="00D3487E" w:rsidRPr="00BD024E" w:rsidRDefault="00D3487E" w:rsidP="00BD024E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spacing w:line="360" w:lineRule="auto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14:paraId="22FF370E" w14:textId="77777777" w:rsidR="00C02081" w:rsidRPr="00BD024E" w:rsidRDefault="00C02081" w:rsidP="00BD024E">
      <w:pPr>
        <w:widowControl w:val="0"/>
        <w:tabs>
          <w:tab w:val="left" w:pos="1005"/>
          <w:tab w:val="left" w:pos="4375"/>
        </w:tabs>
        <w:autoSpaceDE w:val="0"/>
        <w:autoSpaceDN w:val="0"/>
        <w:adjustRightInd w:val="0"/>
        <w:rPr>
          <w:rFonts w:ascii="Helvetica" w:hAnsi="Helvetica"/>
          <w:sz w:val="16"/>
          <w:szCs w:val="16"/>
          <w:u w:val="double"/>
          <w:lang w:val="en-US"/>
        </w:rPr>
      </w:pPr>
    </w:p>
    <w:sectPr w:rsidR="00C02081" w:rsidRPr="00BD024E" w:rsidSect="00B760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624" w:right="301" w:bottom="992" w:left="1021" w:header="478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55026" w14:textId="77777777" w:rsidR="00017971" w:rsidRDefault="00A37DB6">
      <w:r>
        <w:separator/>
      </w:r>
    </w:p>
  </w:endnote>
  <w:endnote w:type="continuationSeparator" w:id="0">
    <w:p w14:paraId="6FC351D1" w14:textId="77777777" w:rsidR="00017971" w:rsidRDefault="00A3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5F957" w14:textId="77777777" w:rsidR="00BD39C5" w:rsidRDefault="00BD39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B7459" w14:textId="77777777" w:rsidR="00BD39C5" w:rsidRDefault="00BD39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43FC7" w14:textId="77777777" w:rsidR="00BD39C5" w:rsidRDefault="00BD3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EFCDA2" w14:textId="77777777" w:rsidR="00017971" w:rsidRDefault="00A37DB6">
      <w:r>
        <w:separator/>
      </w:r>
    </w:p>
  </w:footnote>
  <w:footnote w:type="continuationSeparator" w:id="0">
    <w:p w14:paraId="3C250E15" w14:textId="77777777" w:rsidR="00017971" w:rsidRDefault="00A3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D7BAF" w14:textId="77777777" w:rsidR="00BD39C5" w:rsidRDefault="00BD3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8584"/>
      <w:gridCol w:w="2024"/>
    </w:tblGrid>
    <w:tr w:rsidR="00142737" w14:paraId="2BEFA315" w14:textId="77777777" w:rsidTr="00BD39C5">
      <w:trPr>
        <w:trHeight w:val="375"/>
      </w:trPr>
      <w:tc>
        <w:tcPr>
          <w:tcW w:w="8584" w:type="dxa"/>
        </w:tcPr>
        <w:p w14:paraId="076F684A" w14:textId="77777777" w:rsidR="00CA485C" w:rsidRPr="008D147F" w:rsidRDefault="00A37DB6" w:rsidP="00A977E6">
          <w:pPr>
            <w:ind w:left="-100" w:right="-772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  <w:r w:rsidRPr="00FA164A">
            <w:rPr>
              <w:rFonts w:ascii="Helvetica" w:hAnsi="Helvetica"/>
              <w:b/>
              <w:bCs/>
              <w:color w:val="000000"/>
              <w:sz w:val="32"/>
              <w:szCs w:val="32"/>
              <w:lang w:val="en-US"/>
            </w:rPr>
            <w:t xml:space="preserve">Memorandum of Resolutions of </w:t>
          </w:r>
          <w:r w:rsidRPr="00EB1628">
            <w:rPr>
              <w:rFonts w:ascii="Helvetica" w:hAnsi="Helvetica"/>
              <w:b/>
              <w:noProof/>
              <w:sz w:val="32"/>
              <w:szCs w:val="32"/>
            </w:rPr>
            <w:t>the Director(s) of</w:t>
          </w:r>
        </w:p>
      </w:tc>
      <w:tc>
        <w:tcPr>
          <w:tcW w:w="2024" w:type="dxa"/>
          <w:vMerge w:val="restart"/>
        </w:tcPr>
        <w:p w14:paraId="5800A610" w14:textId="77777777" w:rsidR="00CA485C" w:rsidRDefault="00A37DB6" w:rsidP="00A977E6">
          <w:pPr>
            <w:ind w:right="-8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val="en-US" w:eastAsia="zh-CN"/>
            </w:rPr>
            <w:drawing>
              <wp:anchor distT="0" distB="0" distL="114300" distR="114300" simplePos="0" relativeHeight="251658240" behindDoc="0" locked="0" layoutInCell="1" allowOverlap="1" wp14:anchorId="3F7E156A" wp14:editId="63085FAB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1752600" cy="981075"/>
                <wp:effectExtent l="0" t="0" r="0" b="0"/>
                <wp:wrapNone/>
                <wp:docPr id="2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yourlog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52600" cy="98107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a14="http://schemas.microsoft.com/office/mac/drawingml/2011/main" xmlns:mo="http://schemas.microsoft.com/office/mac/office/2008/main" xmlns:mv="urn:schemas-microsoft-com:mac:vml" xmlns:o="urn:schemas-microsoft-com:office:office" xmlns:v="urn:schemas-microsoft-com:vml" xmlns:ve="http://schemas.openxmlformats.org/markup-compatibility/2006" xmlns:w="http://schemas.openxmlformats.org/wordprocessingml/2006/main" xmlns:w10="urn:schemas-microsoft-com:office:word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142737" w14:paraId="1C6C11DB" w14:textId="77777777" w:rsidTr="00BD39C5">
      <w:trPr>
        <w:trHeight w:val="319"/>
      </w:trPr>
      <w:tc>
        <w:tcPr>
          <w:tcW w:w="8584" w:type="dxa"/>
        </w:tcPr>
        <w:p w14:paraId="23502C5B" w14:textId="77777777" w:rsidR="00CA485C" w:rsidRPr="00D14A59" w:rsidRDefault="00A37DB6" w:rsidP="00A977E6">
          <w:pPr>
            <w:tabs>
              <w:tab w:val="left" w:pos="8244"/>
            </w:tabs>
            <w:ind w:left="-100" w:right="-768"/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</w:pP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Neil Harrison Self Managed Super Pty Ltd</w:t>
          </w:r>
          <w:r>
            <w:rPr>
              <w:rFonts w:ascii="Helvetica" w:hAnsi="Helvetica"/>
              <w:b/>
              <w:noProof/>
              <w:sz w:val="22"/>
              <w:szCs w:val="22"/>
            </w:rPr>
            <w:t xml:space="preserve"> </w:t>
          </w:r>
          <w:r w:rsidRPr="00352608">
            <w:rPr>
              <w:rFonts w:ascii="Helvetica" w:hAnsi="Helvetica"/>
              <w:b/>
              <w:noProof/>
              <w:sz w:val="22"/>
              <w:szCs w:val="22"/>
            </w:rPr>
            <w:t>ACN: 617360120</w:t>
          </w:r>
          <w:r>
            <w:rPr>
              <w:rFonts w:ascii="Helvetica" w:hAnsi="Helvetica" w:cs="Helvetica"/>
              <w:b/>
              <w:bCs/>
              <w:color w:val="000000"/>
              <w:sz w:val="32"/>
              <w:szCs w:val="32"/>
              <w:lang w:val="en-US"/>
            </w:rPr>
            <w:tab/>
          </w:r>
        </w:p>
      </w:tc>
      <w:tc>
        <w:tcPr>
          <w:tcW w:w="2024" w:type="dxa"/>
          <w:vMerge/>
        </w:tcPr>
        <w:p w14:paraId="55C25CB9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142737" w14:paraId="464139BB" w14:textId="77777777" w:rsidTr="00BD39C5">
      <w:trPr>
        <w:trHeight w:val="236"/>
      </w:trPr>
      <w:tc>
        <w:tcPr>
          <w:tcW w:w="8584" w:type="dxa"/>
        </w:tcPr>
        <w:p w14:paraId="78F5C091" w14:textId="77777777" w:rsidR="00CA485C" w:rsidRDefault="00A37DB6" w:rsidP="00A977E6">
          <w:pPr>
            <w:tabs>
              <w:tab w:val="left" w:pos="8244"/>
            </w:tabs>
            <w:ind w:left="-100" w:right="-768"/>
          </w:pPr>
          <w:r w:rsidRPr="00352608"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  <w:t xml:space="preserve">ATF </w:t>
          </w:r>
          <w:r w:rsidRPr="00352608">
            <w:rPr>
              <w:rFonts w:ascii="Helvetica" w:hAnsi="Helvetica"/>
              <w:b/>
              <w:noProof/>
            </w:rPr>
            <w:t>NEIL HARRISON SELF MANAGED SUPER FUND</w:t>
          </w:r>
        </w:p>
      </w:tc>
      <w:tc>
        <w:tcPr>
          <w:tcW w:w="2024" w:type="dxa"/>
          <w:vMerge/>
        </w:tcPr>
        <w:p w14:paraId="06E97BDB" w14:textId="77777777" w:rsidR="00CA485C" w:rsidRDefault="00CA485C" w:rsidP="00A977E6">
          <w:pPr>
            <w:rPr>
              <w:b/>
              <w:lang w:val="en-US"/>
            </w:rPr>
          </w:pPr>
        </w:p>
      </w:tc>
    </w:tr>
    <w:tr w:rsidR="00142737" w14:paraId="0CDF5918" w14:textId="77777777" w:rsidTr="00BD39C5">
      <w:trPr>
        <w:trHeight w:val="20"/>
      </w:trPr>
      <w:tc>
        <w:tcPr>
          <w:tcW w:w="10608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142737" w14:paraId="5F0F7CA1" w14:textId="77777777" w:rsidTr="00CA485C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4F50851D" w14:textId="77777777" w:rsidR="00CA485C" w:rsidRDefault="00CA485C" w:rsidP="00A977E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702D172F" w14:textId="77777777" w:rsidR="00CA485C" w:rsidRPr="00E40F90" w:rsidRDefault="00CA485C" w:rsidP="00A977E6">
          <w:pPr>
            <w:jc w:val="center"/>
            <w:rPr>
              <w:lang w:val="en-US"/>
            </w:rPr>
          </w:pPr>
        </w:p>
      </w:tc>
    </w:tr>
  </w:tbl>
  <w:p w14:paraId="6F699A4C" w14:textId="77777777" w:rsidR="00CA485C" w:rsidRPr="00CA485C" w:rsidRDefault="00CA485C" w:rsidP="00DD3E5D">
    <w:pPr>
      <w:pStyle w:val="Header"/>
      <w:tabs>
        <w:tab w:val="clear" w:pos="4513"/>
        <w:tab w:val="clear" w:pos="9026"/>
        <w:tab w:val="left" w:pos="528"/>
      </w:tabs>
      <w:rPr>
        <w:rFonts w:ascii="Helvetica" w:hAnsi="Helvetica" w:cs="Helvetica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306A8" w14:textId="77777777" w:rsidR="00BD39C5" w:rsidRDefault="00BD39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B508B9"/>
    <w:multiLevelType w:val="hybridMultilevel"/>
    <w:tmpl w:val="E7F09A44"/>
    <w:lvl w:ilvl="0" w:tplc="195081CC">
      <w:numFmt w:val="bullet"/>
      <w:lvlText w:val=""/>
      <w:lvlJc w:val="left"/>
      <w:pPr>
        <w:ind w:left="252" w:hanging="360"/>
      </w:pPr>
      <w:rPr>
        <w:rFonts w:ascii="Symbol" w:eastAsia="SimSun" w:hAnsi="Symbol" w:cs="Times New Roman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5"/>
    <w:rsid w:val="00000E51"/>
    <w:rsid w:val="0000476A"/>
    <w:rsid w:val="00017971"/>
    <w:rsid w:val="00032F61"/>
    <w:rsid w:val="000339FA"/>
    <w:rsid w:val="00044E6C"/>
    <w:rsid w:val="00051E29"/>
    <w:rsid w:val="000659E8"/>
    <w:rsid w:val="00081D4E"/>
    <w:rsid w:val="000B71CB"/>
    <w:rsid w:val="000C7ADD"/>
    <w:rsid w:val="000F492C"/>
    <w:rsid w:val="00131AFC"/>
    <w:rsid w:val="00142737"/>
    <w:rsid w:val="00152593"/>
    <w:rsid w:val="00170044"/>
    <w:rsid w:val="00181EF6"/>
    <w:rsid w:val="00182E93"/>
    <w:rsid w:val="001A5F29"/>
    <w:rsid w:val="001C3541"/>
    <w:rsid w:val="00204CD6"/>
    <w:rsid w:val="00213312"/>
    <w:rsid w:val="00260513"/>
    <w:rsid w:val="002A1E0B"/>
    <w:rsid w:val="002A4B09"/>
    <w:rsid w:val="002D7C70"/>
    <w:rsid w:val="002E170F"/>
    <w:rsid w:val="002E6915"/>
    <w:rsid w:val="002F1791"/>
    <w:rsid w:val="002F25F4"/>
    <w:rsid w:val="00300808"/>
    <w:rsid w:val="00326662"/>
    <w:rsid w:val="00352608"/>
    <w:rsid w:val="00357295"/>
    <w:rsid w:val="003A2551"/>
    <w:rsid w:val="003B14FA"/>
    <w:rsid w:val="003E2C35"/>
    <w:rsid w:val="003F2E79"/>
    <w:rsid w:val="003F57A0"/>
    <w:rsid w:val="0043380B"/>
    <w:rsid w:val="00434F03"/>
    <w:rsid w:val="004635A4"/>
    <w:rsid w:val="00464A4D"/>
    <w:rsid w:val="00464C29"/>
    <w:rsid w:val="00483CDC"/>
    <w:rsid w:val="00491578"/>
    <w:rsid w:val="004A13D0"/>
    <w:rsid w:val="004C2A82"/>
    <w:rsid w:val="004C5E4E"/>
    <w:rsid w:val="004D0446"/>
    <w:rsid w:val="00516200"/>
    <w:rsid w:val="00533A60"/>
    <w:rsid w:val="00547574"/>
    <w:rsid w:val="00553133"/>
    <w:rsid w:val="00573956"/>
    <w:rsid w:val="00575381"/>
    <w:rsid w:val="00582A95"/>
    <w:rsid w:val="005A5B5D"/>
    <w:rsid w:val="005B54B7"/>
    <w:rsid w:val="00611FA9"/>
    <w:rsid w:val="0062021F"/>
    <w:rsid w:val="00624834"/>
    <w:rsid w:val="00635C9F"/>
    <w:rsid w:val="0064490F"/>
    <w:rsid w:val="00665AA4"/>
    <w:rsid w:val="00672AAD"/>
    <w:rsid w:val="00677FC7"/>
    <w:rsid w:val="006E6618"/>
    <w:rsid w:val="006F2FDC"/>
    <w:rsid w:val="00701AAD"/>
    <w:rsid w:val="00702A82"/>
    <w:rsid w:val="00710B07"/>
    <w:rsid w:val="00720E16"/>
    <w:rsid w:val="00733176"/>
    <w:rsid w:val="007416C3"/>
    <w:rsid w:val="0074203C"/>
    <w:rsid w:val="00744256"/>
    <w:rsid w:val="007606C2"/>
    <w:rsid w:val="00761B7C"/>
    <w:rsid w:val="007A0DFE"/>
    <w:rsid w:val="007D1827"/>
    <w:rsid w:val="007D2874"/>
    <w:rsid w:val="007E6033"/>
    <w:rsid w:val="008137C9"/>
    <w:rsid w:val="00850348"/>
    <w:rsid w:val="00851F10"/>
    <w:rsid w:val="00871606"/>
    <w:rsid w:val="00887063"/>
    <w:rsid w:val="008878E5"/>
    <w:rsid w:val="008B7E1A"/>
    <w:rsid w:val="008C5354"/>
    <w:rsid w:val="008D147F"/>
    <w:rsid w:val="00925ACA"/>
    <w:rsid w:val="00930FB1"/>
    <w:rsid w:val="009568B9"/>
    <w:rsid w:val="009A2A38"/>
    <w:rsid w:val="009B297F"/>
    <w:rsid w:val="009D39A7"/>
    <w:rsid w:val="009E0079"/>
    <w:rsid w:val="00A27C33"/>
    <w:rsid w:val="00A36570"/>
    <w:rsid w:val="00A3688C"/>
    <w:rsid w:val="00A37DB6"/>
    <w:rsid w:val="00A5415A"/>
    <w:rsid w:val="00A564F6"/>
    <w:rsid w:val="00A97465"/>
    <w:rsid w:val="00A977E6"/>
    <w:rsid w:val="00AA1B09"/>
    <w:rsid w:val="00AB4198"/>
    <w:rsid w:val="00AB69C5"/>
    <w:rsid w:val="00AF637A"/>
    <w:rsid w:val="00B11E6C"/>
    <w:rsid w:val="00B30FA4"/>
    <w:rsid w:val="00B3106A"/>
    <w:rsid w:val="00B37908"/>
    <w:rsid w:val="00B647B5"/>
    <w:rsid w:val="00B7608E"/>
    <w:rsid w:val="00B76239"/>
    <w:rsid w:val="00B86851"/>
    <w:rsid w:val="00B92F58"/>
    <w:rsid w:val="00B93BA5"/>
    <w:rsid w:val="00BA2138"/>
    <w:rsid w:val="00BA643C"/>
    <w:rsid w:val="00BB6926"/>
    <w:rsid w:val="00BC5D3B"/>
    <w:rsid w:val="00BD024E"/>
    <w:rsid w:val="00BD39C5"/>
    <w:rsid w:val="00BD53FE"/>
    <w:rsid w:val="00BE18A1"/>
    <w:rsid w:val="00C02081"/>
    <w:rsid w:val="00C70F6B"/>
    <w:rsid w:val="00C81BC2"/>
    <w:rsid w:val="00C923D9"/>
    <w:rsid w:val="00CA485C"/>
    <w:rsid w:val="00CE1F1E"/>
    <w:rsid w:val="00CE396C"/>
    <w:rsid w:val="00CF1F75"/>
    <w:rsid w:val="00CF50DD"/>
    <w:rsid w:val="00D10041"/>
    <w:rsid w:val="00D14A59"/>
    <w:rsid w:val="00D30876"/>
    <w:rsid w:val="00D31689"/>
    <w:rsid w:val="00D3487E"/>
    <w:rsid w:val="00D40898"/>
    <w:rsid w:val="00D72D6F"/>
    <w:rsid w:val="00DD3E5D"/>
    <w:rsid w:val="00DE16EF"/>
    <w:rsid w:val="00E25193"/>
    <w:rsid w:val="00E33FE1"/>
    <w:rsid w:val="00E40F90"/>
    <w:rsid w:val="00E460E1"/>
    <w:rsid w:val="00E52FCD"/>
    <w:rsid w:val="00E800A0"/>
    <w:rsid w:val="00E87609"/>
    <w:rsid w:val="00E96B21"/>
    <w:rsid w:val="00EB1628"/>
    <w:rsid w:val="00ED609A"/>
    <w:rsid w:val="00ED6E87"/>
    <w:rsid w:val="00F16352"/>
    <w:rsid w:val="00F67A04"/>
    <w:rsid w:val="00F74504"/>
    <w:rsid w:val="00F82AAD"/>
    <w:rsid w:val="00FA12B3"/>
    <w:rsid w:val="00FA164A"/>
    <w:rsid w:val="00FA549D"/>
    <w:rsid w:val="00FB45EA"/>
    <w:rsid w:val="00FB69B1"/>
    <w:rsid w:val="00FD770E"/>
    <w:rsid w:val="00FE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3E5F5E"/>
  <w15:docId w15:val="{9A6BC1CC-7FE0-48AE-8F80-633CEDBD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898"/>
  </w:style>
  <w:style w:type="paragraph" w:styleId="Heading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F5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12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2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2AAD"/>
  </w:style>
  <w:style w:type="paragraph" w:styleId="Footer">
    <w:name w:val="footer"/>
    <w:basedOn w:val="Normal"/>
    <w:link w:val="FooterChar"/>
    <w:uiPriority w:val="99"/>
    <w:unhideWhenUsed/>
    <w:rsid w:val="00F82A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2AAD"/>
  </w:style>
  <w:style w:type="table" w:customStyle="1" w:styleId="TableGrid1">
    <w:name w:val="Table Grid1"/>
    <w:basedOn w:val="TableNormal"/>
    <w:next w:val="TableGrid"/>
    <w:uiPriority w:val="59"/>
    <w:rsid w:val="00E40F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7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68000-5D21-471C-A738-E1C8F606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491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 Le</dc:creator>
  <dc:description>Gnostice eDocEngine V2.5 (www.gnostice.com)</dc:description>
  <cp:lastModifiedBy>Danielle Barrow</cp:lastModifiedBy>
  <cp:revision>9</cp:revision>
  <dcterms:created xsi:type="dcterms:W3CDTF">2016-12-13T04:23:00Z</dcterms:created>
  <dcterms:modified xsi:type="dcterms:W3CDTF">2021-12-02T02:31:00Z</dcterms:modified>
</cp:coreProperties>
</file>