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5F0F2" w14:textId="77777777" w:rsidR="008878E5" w:rsidRPr="008878E5" w:rsidRDefault="008878E5">
      <w:pPr>
        <w:rPr>
          <w:sz w:val="10"/>
          <w:szCs w:val="10"/>
        </w:r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0"/>
        <w:gridCol w:w="6548"/>
      </w:tblGrid>
      <w:tr w:rsidR="00D3487E" w14:paraId="3E1E6125" w14:textId="77777777" w:rsidTr="00CA485C">
        <w:tc>
          <w:tcPr>
            <w:tcW w:w="3800" w:type="dxa"/>
          </w:tcPr>
          <w:p w14:paraId="7C897670" w14:textId="77777777" w:rsidR="007A0DFE" w:rsidRDefault="007A0DF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14:paraId="409190B6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FINANCIAL STATEMENTS OF SUPERANNUATION FUND:</w:t>
            </w:r>
          </w:p>
        </w:tc>
        <w:tc>
          <w:tcPr>
            <w:tcW w:w="6548" w:type="dxa"/>
          </w:tcPr>
          <w:p w14:paraId="2B6970DB" w14:textId="77777777" w:rsidR="007A0DFE" w:rsidRDefault="007A0DF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071B5A21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financial statements would be prepared as special purpose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statements as, in the opinion of the trustee(s), the superannuation fund is a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non-reporting entity and therefore is not required to comply with all Australian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Accounting Standards.</w:t>
            </w:r>
          </w:p>
          <w:p w14:paraId="3F5D4BED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93695D1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Chair tabled the financial statements and notes to the financial statements of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superannuation fund in respect of the year ended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="000C7ADD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and it was resolved that such statements be and are hereby adopted as tabled. </w:t>
            </w:r>
          </w:p>
        </w:tc>
      </w:tr>
      <w:tr w:rsidR="00D3487E" w:rsidRPr="00DC70C0" w14:paraId="1DA57C79" w14:textId="77777777" w:rsidTr="00CA485C">
        <w:trPr>
          <w:trHeight w:val="42"/>
        </w:trPr>
        <w:tc>
          <w:tcPr>
            <w:tcW w:w="3800" w:type="dxa"/>
          </w:tcPr>
          <w:p w14:paraId="2E81A9C6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3F5AE8E5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7B6E3460" w14:textId="77777777" w:rsidTr="00CA485C">
        <w:tc>
          <w:tcPr>
            <w:tcW w:w="3800" w:type="dxa"/>
          </w:tcPr>
          <w:p w14:paraId="70A4FB48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TRUSTEE'S DECLARATION:</w:t>
            </w:r>
          </w:p>
        </w:tc>
        <w:tc>
          <w:tcPr>
            <w:tcW w:w="6548" w:type="dxa"/>
          </w:tcPr>
          <w:p w14:paraId="0448E462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trustee’s declaration of the superannuation fund be signed.</w:t>
            </w:r>
          </w:p>
        </w:tc>
      </w:tr>
      <w:tr w:rsidR="00D3487E" w:rsidRPr="00DC70C0" w14:paraId="3922676F" w14:textId="77777777" w:rsidTr="00CA485C">
        <w:tc>
          <w:tcPr>
            <w:tcW w:w="3800" w:type="dxa"/>
          </w:tcPr>
          <w:p w14:paraId="4DDC5098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180CABAA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12115261" w14:textId="77777777" w:rsidTr="00CA485C">
        <w:tc>
          <w:tcPr>
            <w:tcW w:w="3800" w:type="dxa"/>
          </w:tcPr>
          <w:p w14:paraId="77E6DC85" w14:textId="77777777" w:rsidR="00D3487E" w:rsidRPr="00720E16" w:rsidRDefault="00D3487E" w:rsidP="00A36570">
            <w:pPr>
              <w:widowControl w:val="0"/>
              <w:tabs>
                <w:tab w:val="left" w:pos="4144"/>
                <w:tab w:val="left" w:pos="4428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ANNUAL RETURN:</w:t>
            </w:r>
          </w:p>
        </w:tc>
        <w:tc>
          <w:tcPr>
            <w:tcW w:w="6548" w:type="dxa"/>
          </w:tcPr>
          <w:p w14:paraId="6EA6DA4B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Being satisfied that the fund had complied with the requirements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Superannuation Industry (Supervision) Act 1993 (SISA) and Regulations during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year 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, it was resolved that the annual return be approved, signed and lodged with the Australian Taxation Office.</w:t>
            </w:r>
          </w:p>
        </w:tc>
      </w:tr>
      <w:tr w:rsidR="00D3487E" w:rsidRPr="00DC70C0" w14:paraId="7DFC1C0F" w14:textId="77777777" w:rsidTr="00CA485C">
        <w:tc>
          <w:tcPr>
            <w:tcW w:w="3800" w:type="dxa"/>
          </w:tcPr>
          <w:p w14:paraId="3D9212B4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6548" w:type="dxa"/>
          </w:tcPr>
          <w:p w14:paraId="27E45776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61C66174" w14:textId="77777777" w:rsidTr="00CA485C">
        <w:tc>
          <w:tcPr>
            <w:tcW w:w="3800" w:type="dxa"/>
          </w:tcPr>
          <w:p w14:paraId="4BCD759E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548" w:type="dxa"/>
          </w:tcPr>
          <w:p w14:paraId="24260624" w14:textId="77777777" w:rsidR="00D3487E" w:rsidRPr="00464C29" w:rsidRDefault="00D3487E" w:rsidP="00464C29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allocation of the fund’s assets and the fund’s investment performance over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year were reviewed and found to be within the acceptable ranges outlined in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investment strategy. After considering the risk, rate of return and liquidity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investments and the ability of the fund to discharge its existing liabilities, it was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resolved that the investment strategy continues to reflect the purposes and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circumstances of the fund and its members. Accordingly, no changes in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strategy were required.</w:t>
            </w:r>
          </w:p>
        </w:tc>
      </w:tr>
      <w:tr w:rsidR="00D3487E" w:rsidRPr="00DC70C0" w14:paraId="153A052B" w14:textId="77777777" w:rsidTr="00CA485C">
        <w:tc>
          <w:tcPr>
            <w:tcW w:w="3800" w:type="dxa"/>
          </w:tcPr>
          <w:p w14:paraId="129578D5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0B49471E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3B62C3A3" w14:textId="77777777" w:rsidTr="00CA485C">
        <w:tc>
          <w:tcPr>
            <w:tcW w:w="3800" w:type="dxa"/>
          </w:tcPr>
          <w:p w14:paraId="6DE51018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INSURANCE COVER:</w:t>
            </w:r>
          </w:p>
        </w:tc>
        <w:tc>
          <w:tcPr>
            <w:tcW w:w="6548" w:type="dxa"/>
          </w:tcPr>
          <w:p w14:paraId="07A761E2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trustee(s) reviewed the current life and total and permanent disability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coverage on offer to the members and resolved that the current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arrangements were appropriate for the fund.</w:t>
            </w:r>
          </w:p>
        </w:tc>
      </w:tr>
      <w:tr w:rsidR="00D3487E" w:rsidRPr="00DC70C0" w14:paraId="02F526E4" w14:textId="77777777" w:rsidTr="00CA485C">
        <w:tc>
          <w:tcPr>
            <w:tcW w:w="3800" w:type="dxa"/>
          </w:tcPr>
          <w:p w14:paraId="56F82851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092F9F0B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515FF526" w14:textId="77777777" w:rsidTr="00CA485C">
        <w:tc>
          <w:tcPr>
            <w:tcW w:w="3800" w:type="dxa"/>
          </w:tcPr>
          <w:p w14:paraId="11E1ADA8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ALLOCATION OF INCOME:</w:t>
            </w:r>
          </w:p>
        </w:tc>
        <w:tc>
          <w:tcPr>
            <w:tcW w:w="6548" w:type="dxa"/>
          </w:tcPr>
          <w:p w14:paraId="19CFBBAF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income of the fund would be allocated to the members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based on their average daily balance (an alternative allocation basis may be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percentage of opening balance).</w:t>
            </w:r>
          </w:p>
        </w:tc>
      </w:tr>
      <w:tr w:rsidR="00D3487E" w:rsidRPr="00DC70C0" w14:paraId="1C8AA3C9" w14:textId="77777777" w:rsidTr="00CA485C">
        <w:tc>
          <w:tcPr>
            <w:tcW w:w="3800" w:type="dxa"/>
          </w:tcPr>
          <w:p w14:paraId="694CA511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3C657D74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3FE28942" w14:textId="77777777" w:rsidTr="00CA485C">
        <w:tc>
          <w:tcPr>
            <w:tcW w:w="3800" w:type="dxa"/>
          </w:tcPr>
          <w:p w14:paraId="0DBA04EE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ACQUISITIONS:</w:t>
            </w:r>
          </w:p>
        </w:tc>
        <w:tc>
          <w:tcPr>
            <w:tcW w:w="6548" w:type="dxa"/>
          </w:tcPr>
          <w:p w14:paraId="345BC6B3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acquisitions throughout the financial year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D3487E" w:rsidRPr="00DC70C0" w14:paraId="24841270" w14:textId="77777777" w:rsidTr="00CA485C">
        <w:tc>
          <w:tcPr>
            <w:tcW w:w="3800" w:type="dxa"/>
          </w:tcPr>
          <w:p w14:paraId="70B886B6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7214D6DF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5CF12E13" w14:textId="77777777" w:rsidTr="00CA485C">
        <w:tc>
          <w:tcPr>
            <w:tcW w:w="3800" w:type="dxa"/>
          </w:tcPr>
          <w:p w14:paraId="79C41C0A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DISPOSALS:</w:t>
            </w:r>
          </w:p>
        </w:tc>
        <w:tc>
          <w:tcPr>
            <w:tcW w:w="6548" w:type="dxa"/>
          </w:tcPr>
          <w:p w14:paraId="688FFA2A" w14:textId="10AD07B4" w:rsidR="0053483F" w:rsidRDefault="0053483F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noted that in March 2020, the Trustee entered into a contract to sell the Fund’s commercial property at 15 Veronica Street, Capalaba with a settlement date of 5 June 2020.</w:t>
            </w:r>
          </w:p>
          <w:p w14:paraId="3542732F" w14:textId="77777777" w:rsidR="0053483F" w:rsidRDefault="0053483F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374A52A" w14:textId="4554FD8E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disposals throughout the financial year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D3487E" w:rsidRPr="00DC70C0" w14:paraId="706BDCDD" w14:textId="77777777" w:rsidTr="00CA485C">
        <w:tc>
          <w:tcPr>
            <w:tcW w:w="3800" w:type="dxa"/>
          </w:tcPr>
          <w:p w14:paraId="2B816572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1E1D9863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42939762" w14:textId="77777777" w:rsidTr="00CA485C">
        <w:tc>
          <w:tcPr>
            <w:tcW w:w="3800" w:type="dxa"/>
          </w:tcPr>
          <w:p w14:paraId="7504EE63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AUDITORS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593A3F94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2AA5F519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BB87BE0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Super Audits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2F751844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A30C504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of</w:t>
            </w:r>
          </w:p>
          <w:p w14:paraId="7C02FBE6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19869168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PO Box 3376, Rundle Mall, South Australia 5000</w:t>
            </w:r>
          </w:p>
          <w:p w14:paraId="5A84F728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A0A9219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auditors of the Fund for the next financial year.</w:t>
            </w:r>
          </w:p>
        </w:tc>
      </w:tr>
      <w:tr w:rsidR="00D3487E" w:rsidRPr="00DC70C0" w14:paraId="56F38AFC" w14:textId="77777777" w:rsidTr="00CA485C">
        <w:tc>
          <w:tcPr>
            <w:tcW w:w="3800" w:type="dxa"/>
          </w:tcPr>
          <w:p w14:paraId="33235D53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6EC00102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203D228A" w14:textId="77777777" w:rsidTr="00CA485C">
        <w:tc>
          <w:tcPr>
            <w:tcW w:w="3800" w:type="dxa"/>
          </w:tcPr>
          <w:p w14:paraId="5827B6B1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TAX AGENTS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069899A4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274AED4A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007DF904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Hfb Super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7BC6CCB7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14A88684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tax agents of the Fund for the next financial year.</w:t>
            </w:r>
          </w:p>
        </w:tc>
      </w:tr>
      <w:tr w:rsidR="00D3487E" w:rsidRPr="00DC70C0" w14:paraId="5DFA2818" w14:textId="77777777" w:rsidTr="00CA485C">
        <w:tc>
          <w:tcPr>
            <w:tcW w:w="3800" w:type="dxa"/>
          </w:tcPr>
          <w:p w14:paraId="6462BE87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3B343C4D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</w:tbl>
    <w:p w14:paraId="6C24E5CF" w14:textId="77777777" w:rsidR="0053483F" w:rsidRDefault="0053483F">
      <w:r>
        <w:br w:type="page"/>
      </w: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0"/>
        <w:gridCol w:w="6548"/>
      </w:tblGrid>
      <w:tr w:rsidR="00D3487E" w:rsidRPr="00DC70C0" w14:paraId="3A1B6081" w14:textId="77777777" w:rsidTr="00CA485C">
        <w:tc>
          <w:tcPr>
            <w:tcW w:w="3800" w:type="dxa"/>
          </w:tcPr>
          <w:p w14:paraId="60E0FD8E" w14:textId="590D3E89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lastRenderedPageBreak/>
              <w:t>TRUSTEE STATUS:</w:t>
            </w:r>
          </w:p>
        </w:tc>
        <w:tc>
          <w:tcPr>
            <w:tcW w:w="6548" w:type="dxa"/>
          </w:tcPr>
          <w:p w14:paraId="326C0C73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Each of the trustee(s) confirmed that they are qualified to act as trustee(s)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 and that they are not disqualified persons as defined by s 120 of the SISA.</w:t>
            </w:r>
          </w:p>
          <w:p w14:paraId="762665C6" w14:textId="77777777" w:rsidR="00D3487E" w:rsidRPr="00464C29" w:rsidRDefault="00D3487E" w:rsidP="007D1827">
            <w:pPr>
              <w:widowControl w:val="0"/>
              <w:tabs>
                <w:tab w:val="left" w:pos="-103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48E8B663" w14:textId="77777777" w:rsidTr="00CA485C">
        <w:tc>
          <w:tcPr>
            <w:tcW w:w="3800" w:type="dxa"/>
          </w:tcPr>
          <w:p w14:paraId="47520D34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6548" w:type="dxa"/>
          </w:tcPr>
          <w:p w14:paraId="31D163A6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745BB505" w14:textId="77777777" w:rsidTr="00CA485C">
        <w:tc>
          <w:tcPr>
            <w:tcW w:w="3800" w:type="dxa"/>
          </w:tcPr>
          <w:p w14:paraId="22A9E110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PAYMENT OF BENEFITS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6A2BE845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 has ensured that any payment of benefits made from the Fund, meets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requirements of the Fund's deed and does not breach the superannuation laws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 relation to:</w:t>
            </w:r>
          </w:p>
          <w:p w14:paraId="317A8785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44ADB4BC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1. making payments to members; and,</w:t>
            </w:r>
          </w:p>
          <w:p w14:paraId="56FB6BB5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30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065FEFAD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2. breaching the Fund or the member investment strategy.</w:t>
            </w:r>
          </w:p>
          <w:p w14:paraId="297A690F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255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581D3A8A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 has reviewed the payment of the benefit and received advice that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transfer is in accordance with the Deed and the superannuation laws. As such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 has resolved to allow the payment of the benefits on behalf of the member.</w:t>
            </w:r>
          </w:p>
        </w:tc>
      </w:tr>
      <w:tr w:rsidR="00D3487E" w:rsidRPr="00DC70C0" w14:paraId="671CBE9B" w14:textId="77777777" w:rsidTr="00CA485C">
        <w:tc>
          <w:tcPr>
            <w:tcW w:w="3800" w:type="dxa"/>
          </w:tcPr>
          <w:p w14:paraId="7D3C6870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117F98FC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543305A3" w14:textId="77777777" w:rsidTr="00CA485C">
        <w:tc>
          <w:tcPr>
            <w:tcW w:w="3800" w:type="dxa"/>
          </w:tcPr>
          <w:p w14:paraId="54C92FF3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548" w:type="dxa"/>
          </w:tcPr>
          <w:p w14:paraId="45416FD8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Signed as a true record – </w:t>
            </w:r>
          </w:p>
          <w:p w14:paraId="7A6C80E4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974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</w:p>
          <w:p w14:paraId="2F999959" w14:textId="77777777" w:rsidR="00D3487E" w:rsidRPr="00464C29" w:rsidRDefault="00D3487E" w:rsidP="007D1827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329CC22D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2D1FFD4" w14:textId="77777777" w:rsidR="00AF637A" w:rsidRPr="00464C29" w:rsidRDefault="00D3487E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0D504CCC" w14:textId="77777777" w:rsidR="00D3487E" w:rsidRPr="00464C29" w:rsidRDefault="004C2A82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Janette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Cooper</w:t>
            </w:r>
            <w:r w:rsidR="00D3487E"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5C9EED59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580454DC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39385A7B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1F4035D" w14:textId="77777777" w:rsidR="00AF637A" w:rsidRPr="00464C29" w:rsidRDefault="00D3487E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4931E917" w14:textId="1D6FAA4F" w:rsidR="00D3487E" w:rsidRPr="00464C29" w:rsidRDefault="004C2A82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 xml:space="preserve">Timothy </w:t>
            </w:r>
            <w:bookmarkStart w:id="0" w:name="_GoBack"/>
            <w:bookmarkEnd w:id="0"/>
            <w:r w:rsidRPr="00464C29">
              <w:rPr>
                <w:rFonts w:ascii="Helvetica" w:hAnsi="Helvetica"/>
                <w:noProof/>
                <w:sz w:val="18"/>
                <w:szCs w:val="18"/>
              </w:rPr>
              <w:t>Cooper</w:t>
            </w:r>
            <w:r w:rsidR="00D3487E"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1AC7FD30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0548C826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446C2205" w14:textId="77777777" w:rsidR="00C02081" w:rsidRPr="00BD024E" w:rsidRDefault="00C02081" w:rsidP="00BD024E">
      <w:pPr>
        <w:widowControl w:val="0"/>
        <w:tabs>
          <w:tab w:val="left" w:pos="1005"/>
          <w:tab w:val="left" w:pos="4375"/>
        </w:tabs>
        <w:autoSpaceDE w:val="0"/>
        <w:autoSpaceDN w:val="0"/>
        <w:adjustRightInd w:val="0"/>
        <w:rPr>
          <w:rFonts w:ascii="Helvetica" w:hAnsi="Helvetica"/>
          <w:sz w:val="16"/>
          <w:szCs w:val="16"/>
          <w:u w:val="double"/>
          <w:lang w:val="en-US"/>
        </w:rPr>
      </w:pPr>
    </w:p>
    <w:sectPr w:rsidR="00C02081" w:rsidRPr="00BD024E" w:rsidSect="00B760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624" w:right="301" w:bottom="992" w:left="1021" w:header="478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D4486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14:paraId="165F4F54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EC946" w14:textId="77777777" w:rsidR="00BD39C5" w:rsidRDefault="00BD3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C3791" w14:textId="77777777" w:rsidR="00BD39C5" w:rsidRDefault="00BD39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A8B80" w14:textId="77777777" w:rsidR="00BD39C5" w:rsidRDefault="00BD3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1F190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14:paraId="51444ED7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99EBE" w14:textId="77777777" w:rsidR="00BD39C5" w:rsidRDefault="00BD3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8584"/>
      <w:gridCol w:w="2024"/>
    </w:tblGrid>
    <w:tr w:rsidR="00CA485C" w14:paraId="330C1901" w14:textId="77777777" w:rsidTr="00BD39C5">
      <w:trPr>
        <w:trHeight w:val="375"/>
      </w:trPr>
      <w:tc>
        <w:tcPr>
          <w:tcW w:w="8584" w:type="dxa"/>
        </w:tcPr>
        <w:p w14:paraId="343AF692" w14:textId="77777777" w:rsidR="00CA485C" w:rsidRPr="008D147F" w:rsidRDefault="00CA485C" w:rsidP="00A977E6">
          <w:pPr>
            <w:ind w:left="-100" w:right="-772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  <w:r w:rsidRPr="00FA164A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Memorandum of Resolutions of </w:t>
          </w:r>
          <w:r w:rsidRPr="00EB1628">
            <w:rPr>
              <w:rFonts w:ascii="Helvetica" w:hAnsi="Helvetica"/>
              <w:b/>
              <w:noProof/>
              <w:sz w:val="32"/>
              <w:szCs w:val="32"/>
            </w:rPr>
            <w:t>the Director(s) of</w:t>
          </w:r>
        </w:p>
      </w:tc>
      <w:tc>
        <w:tcPr>
          <w:tcW w:w="2024" w:type="dxa"/>
          <w:vMerge w:val="restart"/>
        </w:tcPr>
        <w:p w14:paraId="55121DBF" w14:textId="77777777" w:rsidR="00CA485C" w:rsidRDefault="00CA485C" w:rsidP="00A977E6">
          <w:pPr>
            <w:ind w:right="-8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 w:eastAsia="zh-CN"/>
            </w:rPr>
            <w:drawing>
              <wp:anchor distT="0" distB="0" distL="114300" distR="114300" simplePos="0" relativeHeight="251658240" behindDoc="0" locked="0" layoutInCell="1" allowOverlap="1" wp14:anchorId="48FD7190" wp14:editId="3DFA6A2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1752600" cy="981075"/>
                <wp:effectExtent l="0" t="0" r="0" b="0"/>
                <wp:wrapNone/>
                <wp:docPr id="2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981075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  <w:bookmarkEnd w:id="1"/>
        </w:p>
      </w:tc>
    </w:tr>
    <w:tr w:rsidR="00CA485C" w14:paraId="2F93D473" w14:textId="77777777" w:rsidTr="00BD39C5">
      <w:trPr>
        <w:trHeight w:val="319"/>
      </w:trPr>
      <w:tc>
        <w:tcPr>
          <w:tcW w:w="8584" w:type="dxa"/>
        </w:tcPr>
        <w:p w14:paraId="7228156D" w14:textId="77777777" w:rsidR="00CA485C" w:rsidRPr="00D14A59" w:rsidRDefault="00CA485C" w:rsidP="00A977E6">
          <w:pPr>
            <w:tabs>
              <w:tab w:val="left" w:pos="8244"/>
            </w:tabs>
            <w:ind w:left="-100" w:right="-768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John Cooper Super Fund Pty Ltd</w:t>
          </w:r>
          <w:r>
            <w:rPr>
              <w:rFonts w:ascii="Helvetica" w:hAnsi="Helvetica"/>
              <w:b/>
              <w:noProof/>
              <w:sz w:val="22"/>
              <w:szCs w:val="22"/>
            </w:rPr>
            <w:t xml:space="preserve"> </w:t>
          </w: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ACN: 165386961</w:t>
          </w:r>
          <w:r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  <w:tab/>
          </w:r>
        </w:p>
      </w:tc>
      <w:tc>
        <w:tcPr>
          <w:tcW w:w="2024" w:type="dxa"/>
          <w:vMerge/>
        </w:tcPr>
        <w:p w14:paraId="06CADD2E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CA485C" w14:paraId="75E0DF10" w14:textId="77777777" w:rsidTr="00BD39C5">
      <w:trPr>
        <w:trHeight w:val="236"/>
      </w:trPr>
      <w:tc>
        <w:tcPr>
          <w:tcW w:w="8584" w:type="dxa"/>
        </w:tcPr>
        <w:p w14:paraId="554A1618" w14:textId="77777777" w:rsidR="00CA485C" w:rsidRDefault="00CA485C" w:rsidP="00A977E6">
          <w:pPr>
            <w:tabs>
              <w:tab w:val="left" w:pos="8244"/>
            </w:tabs>
            <w:ind w:left="-100" w:right="-768"/>
          </w:pPr>
          <w:r w:rsidRPr="00352608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ATF </w:t>
          </w:r>
          <w:r w:rsidRPr="00352608">
            <w:rPr>
              <w:rFonts w:ascii="Helvetica" w:hAnsi="Helvetica"/>
              <w:b/>
              <w:noProof/>
            </w:rPr>
            <w:t>JOHN COOPER INVESTMENTS SUPER FUND</w:t>
          </w:r>
        </w:p>
      </w:tc>
      <w:tc>
        <w:tcPr>
          <w:tcW w:w="2024" w:type="dxa"/>
          <w:vMerge/>
        </w:tcPr>
        <w:p w14:paraId="163E7A27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CA485C" w14:paraId="416D0B4F" w14:textId="77777777" w:rsidTr="00BD39C5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CA485C" w14:paraId="2D5A406C" w14:textId="77777777" w:rsidTr="00CA485C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4EDA7228" w14:textId="77777777" w:rsidR="00CA485C" w:rsidRDefault="00CA485C" w:rsidP="00A977E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7A664B8B" w14:textId="77777777" w:rsidR="00CA485C" w:rsidRPr="00E40F90" w:rsidRDefault="00CA485C" w:rsidP="00A977E6">
          <w:pPr>
            <w:jc w:val="center"/>
            <w:rPr>
              <w:lang w:val="en-US"/>
            </w:rPr>
          </w:pPr>
        </w:p>
      </w:tc>
    </w:tr>
  </w:tbl>
  <w:p w14:paraId="0F579A43" w14:textId="77777777" w:rsidR="00CA485C" w:rsidRPr="00CA485C" w:rsidRDefault="00CA485C" w:rsidP="00DD3E5D">
    <w:pPr>
      <w:pStyle w:val="Header"/>
      <w:tabs>
        <w:tab w:val="clear" w:pos="4513"/>
        <w:tab w:val="clear" w:pos="9026"/>
        <w:tab w:val="left" w:pos="528"/>
      </w:tabs>
      <w:rPr>
        <w:rFonts w:ascii="Helvetica" w:hAnsi="Helvetica" w:cs="Helvetica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020DC" w14:textId="77777777" w:rsidR="00BD39C5" w:rsidRDefault="00BD39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C5"/>
    <w:rsid w:val="00000E51"/>
    <w:rsid w:val="00032F61"/>
    <w:rsid w:val="000339FA"/>
    <w:rsid w:val="00044E6C"/>
    <w:rsid w:val="00051E29"/>
    <w:rsid w:val="000659E8"/>
    <w:rsid w:val="00081D4E"/>
    <w:rsid w:val="000B71CB"/>
    <w:rsid w:val="000C7ADD"/>
    <w:rsid w:val="000F492C"/>
    <w:rsid w:val="00131AFC"/>
    <w:rsid w:val="00152593"/>
    <w:rsid w:val="00170044"/>
    <w:rsid w:val="00181EF6"/>
    <w:rsid w:val="00182E93"/>
    <w:rsid w:val="001A5F29"/>
    <w:rsid w:val="001C3541"/>
    <w:rsid w:val="00204CD6"/>
    <w:rsid w:val="00213312"/>
    <w:rsid w:val="00260513"/>
    <w:rsid w:val="002A1E0B"/>
    <w:rsid w:val="002A4B09"/>
    <w:rsid w:val="002D7C70"/>
    <w:rsid w:val="002E170F"/>
    <w:rsid w:val="002E6915"/>
    <w:rsid w:val="002F1791"/>
    <w:rsid w:val="002F25F4"/>
    <w:rsid w:val="00300808"/>
    <w:rsid w:val="00326662"/>
    <w:rsid w:val="00352608"/>
    <w:rsid w:val="00357295"/>
    <w:rsid w:val="003A2551"/>
    <w:rsid w:val="003B14FA"/>
    <w:rsid w:val="003E2C35"/>
    <w:rsid w:val="003F2E79"/>
    <w:rsid w:val="003F57A0"/>
    <w:rsid w:val="0043380B"/>
    <w:rsid w:val="00434F03"/>
    <w:rsid w:val="004635A4"/>
    <w:rsid w:val="00464A4D"/>
    <w:rsid w:val="00464C29"/>
    <w:rsid w:val="00483CDC"/>
    <w:rsid w:val="00491578"/>
    <w:rsid w:val="004A13D0"/>
    <w:rsid w:val="004C2A82"/>
    <w:rsid w:val="004C5E4E"/>
    <w:rsid w:val="004D0446"/>
    <w:rsid w:val="00516200"/>
    <w:rsid w:val="00533A60"/>
    <w:rsid w:val="0053483F"/>
    <w:rsid w:val="00547574"/>
    <w:rsid w:val="00553133"/>
    <w:rsid w:val="00573956"/>
    <w:rsid w:val="00575381"/>
    <w:rsid w:val="00582A95"/>
    <w:rsid w:val="005A5B5D"/>
    <w:rsid w:val="005B54B7"/>
    <w:rsid w:val="00611FA9"/>
    <w:rsid w:val="0062021F"/>
    <w:rsid w:val="00624834"/>
    <w:rsid w:val="00635C9F"/>
    <w:rsid w:val="0064490F"/>
    <w:rsid w:val="00665AA4"/>
    <w:rsid w:val="00672AAD"/>
    <w:rsid w:val="00677FC7"/>
    <w:rsid w:val="006E6618"/>
    <w:rsid w:val="006F2FDC"/>
    <w:rsid w:val="00701AAD"/>
    <w:rsid w:val="00702A82"/>
    <w:rsid w:val="00710B07"/>
    <w:rsid w:val="00720E16"/>
    <w:rsid w:val="00733176"/>
    <w:rsid w:val="007416C3"/>
    <w:rsid w:val="0074203C"/>
    <w:rsid w:val="00744256"/>
    <w:rsid w:val="007606C2"/>
    <w:rsid w:val="00761B7C"/>
    <w:rsid w:val="007A0DFE"/>
    <w:rsid w:val="007D1827"/>
    <w:rsid w:val="007D2874"/>
    <w:rsid w:val="007E6033"/>
    <w:rsid w:val="008137C9"/>
    <w:rsid w:val="00850348"/>
    <w:rsid w:val="00851F10"/>
    <w:rsid w:val="00871606"/>
    <w:rsid w:val="00887063"/>
    <w:rsid w:val="008878E5"/>
    <w:rsid w:val="008B7E1A"/>
    <w:rsid w:val="008C5354"/>
    <w:rsid w:val="00925ACA"/>
    <w:rsid w:val="00930FB1"/>
    <w:rsid w:val="009568B9"/>
    <w:rsid w:val="009A2A38"/>
    <w:rsid w:val="009B297F"/>
    <w:rsid w:val="009D39A7"/>
    <w:rsid w:val="009E0079"/>
    <w:rsid w:val="00A27C33"/>
    <w:rsid w:val="00A36570"/>
    <w:rsid w:val="00A3688C"/>
    <w:rsid w:val="00A5415A"/>
    <w:rsid w:val="00A564F6"/>
    <w:rsid w:val="00A97465"/>
    <w:rsid w:val="00A977E6"/>
    <w:rsid w:val="00AA1B09"/>
    <w:rsid w:val="00AB4198"/>
    <w:rsid w:val="00AB69C5"/>
    <w:rsid w:val="00AF637A"/>
    <w:rsid w:val="00B11E6C"/>
    <w:rsid w:val="00B30FA4"/>
    <w:rsid w:val="00B3106A"/>
    <w:rsid w:val="00B37908"/>
    <w:rsid w:val="00B647B5"/>
    <w:rsid w:val="00B7608E"/>
    <w:rsid w:val="00B76239"/>
    <w:rsid w:val="00B86851"/>
    <w:rsid w:val="00B92F58"/>
    <w:rsid w:val="00B93BA5"/>
    <w:rsid w:val="00BA2138"/>
    <w:rsid w:val="00BA643C"/>
    <w:rsid w:val="00BB6926"/>
    <w:rsid w:val="00BC5D3B"/>
    <w:rsid w:val="00BD024E"/>
    <w:rsid w:val="00BD39C5"/>
    <w:rsid w:val="00BD53FE"/>
    <w:rsid w:val="00BE18A1"/>
    <w:rsid w:val="00C02081"/>
    <w:rsid w:val="00C70F6B"/>
    <w:rsid w:val="00C81BC2"/>
    <w:rsid w:val="00C923D9"/>
    <w:rsid w:val="00CA485C"/>
    <w:rsid w:val="00CE1F1E"/>
    <w:rsid w:val="00CE396C"/>
    <w:rsid w:val="00CF1F75"/>
    <w:rsid w:val="00CF50DD"/>
    <w:rsid w:val="00D10041"/>
    <w:rsid w:val="00D30876"/>
    <w:rsid w:val="00D31689"/>
    <w:rsid w:val="00D3487E"/>
    <w:rsid w:val="00D40898"/>
    <w:rsid w:val="00D72D6F"/>
    <w:rsid w:val="00DD3E5D"/>
    <w:rsid w:val="00DE16EF"/>
    <w:rsid w:val="00E25193"/>
    <w:rsid w:val="00E33FE1"/>
    <w:rsid w:val="00E40F90"/>
    <w:rsid w:val="00E460E1"/>
    <w:rsid w:val="00E52FCD"/>
    <w:rsid w:val="00E800A0"/>
    <w:rsid w:val="00E87609"/>
    <w:rsid w:val="00E96B21"/>
    <w:rsid w:val="00EB1628"/>
    <w:rsid w:val="00ED609A"/>
    <w:rsid w:val="00ED6E87"/>
    <w:rsid w:val="00F16352"/>
    <w:rsid w:val="00F205FF"/>
    <w:rsid w:val="00F67A04"/>
    <w:rsid w:val="00F74504"/>
    <w:rsid w:val="00F82AAD"/>
    <w:rsid w:val="00FA12B3"/>
    <w:rsid w:val="00FA164A"/>
    <w:rsid w:val="00FA549D"/>
    <w:rsid w:val="00FB45EA"/>
    <w:rsid w:val="00FB69B1"/>
    <w:rsid w:val="00FD770E"/>
    <w:rsid w:val="00FE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9142450"/>
  <w15:docId w15:val="{9A6BC1CC-7FE0-48AE-8F80-633CEDBD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898"/>
  </w:style>
  <w:style w:type="paragraph" w:styleId="Heading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F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1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2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2AAD"/>
  </w:style>
  <w:style w:type="paragraph" w:styleId="Footer">
    <w:name w:val="footer"/>
    <w:basedOn w:val="Normal"/>
    <w:link w:val="Foot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AAD"/>
  </w:style>
  <w:style w:type="table" w:customStyle="1" w:styleId="TableGrid1">
    <w:name w:val="Table Grid1"/>
    <w:basedOn w:val="TableNormal"/>
    <w:next w:val="TableGrid"/>
    <w:uiPriority w:val="59"/>
    <w:rsid w:val="00E40F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C46B9-EE4D-4825-9882-ABC32A9C7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551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Chau Le</dc:creator>
  <dc:description>Gnostice eDocEngine V2.5 (www.gnostice.com)</dc:description>
  <cp:lastModifiedBy>Danielle Barrow</cp:lastModifiedBy>
  <cp:revision>9</cp:revision>
  <dcterms:created xsi:type="dcterms:W3CDTF">2016-12-13T04:23:00Z</dcterms:created>
  <dcterms:modified xsi:type="dcterms:W3CDTF">2020-11-23T02:55:00Z</dcterms:modified>
</cp:coreProperties>
</file>