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3CF6" w14:textId="77777777" w:rsidR="001E4368" w:rsidRPr="0031323C" w:rsidRDefault="00D73494" w:rsidP="001E4368">
      <w:pPr>
        <w:pStyle w:val="LtrSubjectBold"/>
        <w:spacing w:after="0"/>
      </w:pPr>
      <w:r w:rsidRPr="0031323C">
        <w:t>Investment Strategy (Template)</w:t>
      </w:r>
    </w:p>
    <w:p w14:paraId="709B897F" w14:textId="447D9628" w:rsidR="001E4368" w:rsidRDefault="00D73494" w:rsidP="001E4368">
      <w:pPr>
        <w:pStyle w:val="LtrSubjectBold"/>
        <w:spacing w:after="0"/>
      </w:pPr>
      <w:bookmarkStart w:id="0" w:name="_Hlk13649024"/>
      <w:bookmarkStart w:id="1" w:name="HowNowEntityName_01"/>
      <w:r w:rsidRPr="003A1F58">
        <w:rPr>
          <w:noProof/>
          <w:lang w:val="en-AU"/>
        </w:rPr>
        <w:t>M and K Howes Super Fund</w:t>
      </w:r>
      <w:bookmarkEnd w:id="0"/>
      <w:bookmarkEnd w:id="1"/>
      <w:r w:rsidRPr="0031323C">
        <w:t xml:space="preserve"> (‘the Fund’)</w:t>
      </w:r>
    </w:p>
    <w:p w14:paraId="03FEB512" w14:textId="77777777" w:rsidR="00055249" w:rsidRPr="0031323C" w:rsidRDefault="00055249" w:rsidP="001E4368">
      <w:pPr>
        <w:pStyle w:val="LtrSubjectBold"/>
        <w:spacing w:after="0"/>
      </w:pPr>
    </w:p>
    <w:p w14:paraId="19F6CF11" w14:textId="77777777" w:rsidR="001E4368" w:rsidRPr="0031323C" w:rsidRDefault="00D73494" w:rsidP="001E4368">
      <w:pPr>
        <w:pStyle w:val="LtrParaHeading"/>
      </w:pPr>
      <w:r w:rsidRPr="0031323C">
        <w:t xml:space="preserve">Trustee and Members  </w:t>
      </w:r>
    </w:p>
    <w:p w14:paraId="5B92135A" w14:textId="77777777" w:rsidR="005D36AD" w:rsidRDefault="005D36AD" w:rsidP="001E4368">
      <w:pPr>
        <w:pStyle w:val="LtrPara"/>
      </w:pPr>
      <w:r w:rsidRPr="005D36AD">
        <w:t>Mitchell Howes</w:t>
      </w:r>
    </w:p>
    <w:p w14:paraId="5A152936" w14:textId="1B004EF5" w:rsidR="00D1391F" w:rsidRPr="00294AF7" w:rsidRDefault="00E246E9" w:rsidP="001E4368">
      <w:pPr>
        <w:pStyle w:val="LtrPara"/>
      </w:pPr>
      <w:r w:rsidRPr="00E246E9">
        <w:t>Kathleen Howes</w:t>
      </w:r>
    </w:p>
    <w:p w14:paraId="3CDBED9E" w14:textId="77777777" w:rsidR="001E4368" w:rsidRDefault="00D73494" w:rsidP="001E4368">
      <w:pPr>
        <w:pStyle w:val="LtrParaHeading"/>
      </w:pPr>
      <w:r w:rsidRPr="007F52DF">
        <w:t>Fund Profile</w:t>
      </w:r>
      <w:r>
        <w:t>:</w:t>
      </w:r>
    </w:p>
    <w:tbl>
      <w:tblPr>
        <w:tblStyle w:val="TableGrid"/>
        <w:tblW w:w="0" w:type="auto"/>
        <w:tblLook w:val="04A0" w:firstRow="1" w:lastRow="0" w:firstColumn="1" w:lastColumn="0" w:noHBand="0" w:noVBand="1"/>
      </w:tblPr>
      <w:tblGrid>
        <w:gridCol w:w="3784"/>
        <w:gridCol w:w="5232"/>
      </w:tblGrid>
      <w:tr w:rsidR="00B3370F" w14:paraId="739EE814" w14:textId="77777777" w:rsidTr="00035A57">
        <w:tc>
          <w:tcPr>
            <w:tcW w:w="3794" w:type="dxa"/>
          </w:tcPr>
          <w:p w14:paraId="5C37A422" w14:textId="77777777" w:rsidR="001E4368" w:rsidRPr="00294AF7" w:rsidRDefault="00D73494" w:rsidP="00EC5DFC">
            <w:pPr>
              <w:pStyle w:val="LtrTableHeading"/>
              <w:jc w:val="left"/>
            </w:pPr>
            <w:r w:rsidRPr="00294AF7">
              <w:t>F</w:t>
            </w:r>
            <w:r w:rsidRPr="00294AF7">
              <w:t>und Structure:</w:t>
            </w:r>
          </w:p>
        </w:tc>
        <w:tc>
          <w:tcPr>
            <w:tcW w:w="5245" w:type="dxa"/>
          </w:tcPr>
          <w:p w14:paraId="5DA08F1B" w14:textId="77777777" w:rsidR="001E4368" w:rsidRPr="007F52DF" w:rsidRDefault="00D73494" w:rsidP="00035A57">
            <w:pPr>
              <w:pStyle w:val="LtrTableEntry"/>
            </w:pPr>
            <w:proofErr w:type="spellStart"/>
            <w:r w:rsidRPr="007F52DF">
              <w:t>Self Managed</w:t>
            </w:r>
            <w:proofErr w:type="spellEnd"/>
            <w:r w:rsidRPr="007F52DF">
              <w:t xml:space="preserve"> Superannuation Fund</w:t>
            </w:r>
          </w:p>
        </w:tc>
      </w:tr>
      <w:tr w:rsidR="00B3370F" w14:paraId="31C3B09D" w14:textId="77777777" w:rsidTr="00035A57">
        <w:tc>
          <w:tcPr>
            <w:tcW w:w="3794" w:type="dxa"/>
          </w:tcPr>
          <w:p w14:paraId="323A4F56" w14:textId="77777777" w:rsidR="001E4368" w:rsidRPr="00294AF7" w:rsidRDefault="00D73494" w:rsidP="00EC5DFC">
            <w:pPr>
              <w:pStyle w:val="LtrTableHeading"/>
              <w:jc w:val="left"/>
            </w:pPr>
            <w:r w:rsidRPr="00294AF7">
              <w:t>Number of Fund Members:</w:t>
            </w:r>
          </w:p>
        </w:tc>
        <w:tc>
          <w:tcPr>
            <w:tcW w:w="5245" w:type="dxa"/>
          </w:tcPr>
          <w:p w14:paraId="02026AB1" w14:textId="3A21ED6E" w:rsidR="001E4368" w:rsidRPr="007F52DF" w:rsidRDefault="00C13938" w:rsidP="00035A57">
            <w:pPr>
              <w:pStyle w:val="LtrTableEntry"/>
            </w:pPr>
            <w:r>
              <w:t xml:space="preserve">2 </w:t>
            </w:r>
            <w:r w:rsidR="00D1391F">
              <w:t>Members</w:t>
            </w:r>
          </w:p>
        </w:tc>
      </w:tr>
      <w:tr w:rsidR="00B3370F" w14:paraId="6AC02892" w14:textId="77777777" w:rsidTr="00035A57">
        <w:tc>
          <w:tcPr>
            <w:tcW w:w="3794" w:type="dxa"/>
          </w:tcPr>
          <w:p w14:paraId="3B5B463D" w14:textId="77777777" w:rsidR="001E4368" w:rsidRPr="00294AF7" w:rsidRDefault="00D73494" w:rsidP="00EC5DFC">
            <w:pPr>
              <w:pStyle w:val="LtrTableHeading"/>
              <w:jc w:val="left"/>
            </w:pPr>
            <w:r w:rsidRPr="00294AF7">
              <w:t>Fund Phase:</w:t>
            </w:r>
            <w:r w:rsidRPr="00294AF7">
              <w:tab/>
            </w:r>
          </w:p>
        </w:tc>
        <w:tc>
          <w:tcPr>
            <w:tcW w:w="5245" w:type="dxa"/>
          </w:tcPr>
          <w:p w14:paraId="37A25C6A" w14:textId="6FC94518" w:rsidR="001E4368" w:rsidRPr="007F52DF" w:rsidRDefault="00D73494" w:rsidP="00035A57">
            <w:pPr>
              <w:pStyle w:val="LtrTableEntry"/>
            </w:pPr>
            <w:r w:rsidRPr="001369E9">
              <w:t>Accumulation</w:t>
            </w:r>
          </w:p>
        </w:tc>
      </w:tr>
    </w:tbl>
    <w:p w14:paraId="70E84753" w14:textId="77777777" w:rsidR="00055249" w:rsidRDefault="00055249" w:rsidP="001E4368">
      <w:pPr>
        <w:pStyle w:val="LtrParaHeading"/>
      </w:pPr>
    </w:p>
    <w:p w14:paraId="68E14F9D" w14:textId="5D751D0C" w:rsidR="001E4368" w:rsidRPr="00294AF7" w:rsidRDefault="00D73494" w:rsidP="001E4368">
      <w:pPr>
        <w:pStyle w:val="LtrParaHeading"/>
        <w:rPr>
          <w:rFonts w:cstheme="minorHAnsi"/>
        </w:rPr>
      </w:pPr>
      <w:r>
        <w:t xml:space="preserve">Member </w:t>
      </w:r>
      <w:r w:rsidRPr="007F52DF">
        <w:t>Profile</w:t>
      </w:r>
      <w:r>
        <w:t>:</w:t>
      </w:r>
    </w:p>
    <w:tbl>
      <w:tblPr>
        <w:tblStyle w:val="TableGrid"/>
        <w:tblW w:w="0" w:type="auto"/>
        <w:tblLook w:val="04A0" w:firstRow="1" w:lastRow="0" w:firstColumn="1" w:lastColumn="0" w:noHBand="0" w:noVBand="1"/>
      </w:tblPr>
      <w:tblGrid>
        <w:gridCol w:w="1609"/>
        <w:gridCol w:w="2486"/>
        <w:gridCol w:w="2490"/>
        <w:gridCol w:w="2431"/>
      </w:tblGrid>
      <w:tr w:rsidR="00B3370F" w14:paraId="0CDAA068" w14:textId="77777777" w:rsidTr="00035A57">
        <w:tc>
          <w:tcPr>
            <w:tcW w:w="1804" w:type="dxa"/>
          </w:tcPr>
          <w:p w14:paraId="26B82D6D" w14:textId="77777777" w:rsidR="001E4368" w:rsidRPr="007F52DF" w:rsidRDefault="00D73494" w:rsidP="00035A57">
            <w:pPr>
              <w:pStyle w:val="LtrTableHeading"/>
            </w:pPr>
            <w:r w:rsidRPr="007F52DF">
              <w:t>Age</w:t>
            </w:r>
          </w:p>
        </w:tc>
        <w:tc>
          <w:tcPr>
            <w:tcW w:w="2783" w:type="dxa"/>
          </w:tcPr>
          <w:p w14:paraId="02B37DF3" w14:textId="77777777" w:rsidR="001E4368" w:rsidRPr="007F52DF" w:rsidRDefault="00D73494" w:rsidP="00EC5DFC">
            <w:pPr>
              <w:pStyle w:val="LtrTableHeading"/>
            </w:pPr>
            <w:r w:rsidRPr="007F52DF">
              <w:t>Number of Members</w:t>
            </w:r>
          </w:p>
        </w:tc>
        <w:tc>
          <w:tcPr>
            <w:tcW w:w="2785" w:type="dxa"/>
          </w:tcPr>
          <w:p w14:paraId="3AF39477" w14:textId="77777777" w:rsidR="001E4368" w:rsidRPr="007F52DF" w:rsidRDefault="00D73494" w:rsidP="00EC5DFC">
            <w:pPr>
              <w:pStyle w:val="LtrTableHeading"/>
            </w:pPr>
            <w:r>
              <w:t xml:space="preserve">Member </w:t>
            </w:r>
            <w:r>
              <w:t>Status</w:t>
            </w:r>
          </w:p>
        </w:tc>
        <w:tc>
          <w:tcPr>
            <w:tcW w:w="2682" w:type="dxa"/>
          </w:tcPr>
          <w:p w14:paraId="2D93741F" w14:textId="51E8FF61" w:rsidR="001E4368" w:rsidRDefault="00D73494" w:rsidP="00EC5DFC">
            <w:pPr>
              <w:pStyle w:val="LtrTableHeading"/>
            </w:pPr>
            <w:r>
              <w:t>Retirement Age</w:t>
            </w:r>
          </w:p>
        </w:tc>
      </w:tr>
      <w:tr w:rsidR="00B3370F" w14:paraId="1AD6A372" w14:textId="77777777" w:rsidTr="00035A57">
        <w:tc>
          <w:tcPr>
            <w:tcW w:w="1804" w:type="dxa"/>
          </w:tcPr>
          <w:p w14:paraId="3A4872C6" w14:textId="77777777" w:rsidR="001E4368" w:rsidRPr="007F52DF" w:rsidRDefault="00D73494" w:rsidP="00035A57">
            <w:pPr>
              <w:pStyle w:val="LtrTableEntry"/>
            </w:pPr>
            <w:r w:rsidRPr="007F52DF">
              <w:t>&lt; 40 years</w:t>
            </w:r>
          </w:p>
        </w:tc>
        <w:tc>
          <w:tcPr>
            <w:tcW w:w="2783" w:type="dxa"/>
          </w:tcPr>
          <w:p w14:paraId="0867EA3A" w14:textId="77777777" w:rsidR="001E4368" w:rsidRPr="007F52DF" w:rsidRDefault="00D73494" w:rsidP="00EC5DFC">
            <w:pPr>
              <w:pStyle w:val="LtrTableEntry"/>
              <w:jc w:val="center"/>
            </w:pPr>
            <w:r w:rsidRPr="007F52DF">
              <w:t>0</w:t>
            </w:r>
          </w:p>
        </w:tc>
        <w:tc>
          <w:tcPr>
            <w:tcW w:w="2785" w:type="dxa"/>
          </w:tcPr>
          <w:p w14:paraId="159173D0" w14:textId="77777777" w:rsidR="001E4368" w:rsidRPr="007F52DF" w:rsidRDefault="001E4368" w:rsidP="00EC5DFC">
            <w:pPr>
              <w:pStyle w:val="LtrTableEntry"/>
              <w:jc w:val="center"/>
            </w:pPr>
          </w:p>
        </w:tc>
        <w:tc>
          <w:tcPr>
            <w:tcW w:w="2682" w:type="dxa"/>
          </w:tcPr>
          <w:p w14:paraId="0814A3A5" w14:textId="77777777" w:rsidR="001E4368" w:rsidRPr="007F52DF" w:rsidRDefault="001E4368" w:rsidP="00EC5DFC">
            <w:pPr>
              <w:pStyle w:val="LtrTableEntry"/>
              <w:jc w:val="center"/>
            </w:pPr>
          </w:p>
        </w:tc>
      </w:tr>
      <w:tr w:rsidR="00B3370F" w14:paraId="15595A48" w14:textId="77777777" w:rsidTr="00035A57">
        <w:tc>
          <w:tcPr>
            <w:tcW w:w="1804" w:type="dxa"/>
          </w:tcPr>
          <w:p w14:paraId="3749103A" w14:textId="77777777" w:rsidR="001E4368" w:rsidRPr="007F52DF" w:rsidRDefault="00D73494" w:rsidP="00035A57">
            <w:pPr>
              <w:pStyle w:val="LtrTableEntry"/>
            </w:pPr>
            <w:r w:rsidRPr="007F52DF">
              <w:t>41 – 49 years</w:t>
            </w:r>
          </w:p>
        </w:tc>
        <w:tc>
          <w:tcPr>
            <w:tcW w:w="2783" w:type="dxa"/>
          </w:tcPr>
          <w:p w14:paraId="09004350" w14:textId="552E97F8" w:rsidR="001E4368" w:rsidRPr="007F52DF" w:rsidRDefault="001369E9" w:rsidP="00EC5DFC">
            <w:pPr>
              <w:pStyle w:val="LtrTableEntry"/>
              <w:jc w:val="center"/>
            </w:pPr>
            <w:r>
              <w:t>1</w:t>
            </w:r>
          </w:p>
        </w:tc>
        <w:tc>
          <w:tcPr>
            <w:tcW w:w="2785" w:type="dxa"/>
          </w:tcPr>
          <w:p w14:paraId="6A22F70D" w14:textId="37D34543" w:rsidR="001E4368" w:rsidRPr="007F52DF" w:rsidRDefault="001369E9" w:rsidP="001369E9">
            <w:pPr>
              <w:pStyle w:val="LtrTableEntry"/>
            </w:pPr>
            <w:r>
              <w:t xml:space="preserve">             </w:t>
            </w:r>
            <w:r w:rsidRPr="001369E9">
              <w:t>Employed</w:t>
            </w:r>
          </w:p>
        </w:tc>
        <w:tc>
          <w:tcPr>
            <w:tcW w:w="2682" w:type="dxa"/>
          </w:tcPr>
          <w:p w14:paraId="5A6CA741" w14:textId="0C545881" w:rsidR="001E4368" w:rsidRPr="007F52DF" w:rsidRDefault="001369E9" w:rsidP="00EC5DFC">
            <w:pPr>
              <w:pStyle w:val="LtrTableEntry"/>
              <w:jc w:val="center"/>
            </w:pPr>
            <w:r>
              <w:t>Unknown</w:t>
            </w:r>
          </w:p>
        </w:tc>
      </w:tr>
      <w:tr w:rsidR="00B3370F" w14:paraId="3BAAC6A5" w14:textId="77777777" w:rsidTr="00035A57">
        <w:tc>
          <w:tcPr>
            <w:tcW w:w="1804" w:type="dxa"/>
          </w:tcPr>
          <w:p w14:paraId="1FE944B0" w14:textId="77777777" w:rsidR="001E4368" w:rsidRPr="007F52DF" w:rsidRDefault="00D73494" w:rsidP="00035A57">
            <w:pPr>
              <w:pStyle w:val="LtrTableEntry"/>
            </w:pPr>
            <w:r w:rsidRPr="007F52DF">
              <w:t>50 – 59 years</w:t>
            </w:r>
          </w:p>
        </w:tc>
        <w:tc>
          <w:tcPr>
            <w:tcW w:w="2783" w:type="dxa"/>
          </w:tcPr>
          <w:p w14:paraId="52FCE72F" w14:textId="360B4058" w:rsidR="001E4368" w:rsidRPr="006332F0" w:rsidRDefault="001369E9" w:rsidP="00EC5DFC">
            <w:pPr>
              <w:pStyle w:val="LtrTableEntry"/>
              <w:jc w:val="center"/>
              <w:rPr>
                <w:highlight w:val="magenta"/>
              </w:rPr>
            </w:pPr>
            <w:r>
              <w:t>1</w:t>
            </w:r>
          </w:p>
        </w:tc>
        <w:tc>
          <w:tcPr>
            <w:tcW w:w="2785" w:type="dxa"/>
          </w:tcPr>
          <w:p w14:paraId="4B3DC858" w14:textId="2D184ECE" w:rsidR="001E4368" w:rsidRPr="006332F0" w:rsidRDefault="001369E9" w:rsidP="001369E9">
            <w:pPr>
              <w:pStyle w:val="LtrTableEntry"/>
              <w:rPr>
                <w:highlight w:val="magenta"/>
              </w:rPr>
            </w:pPr>
            <w:r>
              <w:t xml:space="preserve">            </w:t>
            </w:r>
            <w:r w:rsidR="00D73494" w:rsidRPr="001369E9">
              <w:t xml:space="preserve"> Employed</w:t>
            </w:r>
          </w:p>
        </w:tc>
        <w:tc>
          <w:tcPr>
            <w:tcW w:w="2682" w:type="dxa"/>
          </w:tcPr>
          <w:p w14:paraId="1C3BC2BE" w14:textId="2F6DB043" w:rsidR="001E4368" w:rsidRPr="006332F0" w:rsidRDefault="00D73494" w:rsidP="00EC5DFC">
            <w:pPr>
              <w:pStyle w:val="LtrTableEntry"/>
              <w:jc w:val="center"/>
              <w:rPr>
                <w:highlight w:val="magenta"/>
              </w:rPr>
            </w:pPr>
            <w:r w:rsidRPr="001369E9">
              <w:t>Unknown</w:t>
            </w:r>
          </w:p>
        </w:tc>
      </w:tr>
      <w:tr w:rsidR="00B3370F" w14:paraId="6AFC385E" w14:textId="77777777" w:rsidTr="00035A57">
        <w:tc>
          <w:tcPr>
            <w:tcW w:w="1804" w:type="dxa"/>
          </w:tcPr>
          <w:p w14:paraId="219376B1" w14:textId="77777777" w:rsidR="001E4368" w:rsidRPr="007F52DF" w:rsidRDefault="00D73494" w:rsidP="00035A57">
            <w:pPr>
              <w:pStyle w:val="LtrTableEntry"/>
            </w:pPr>
            <w:r w:rsidRPr="007F52DF">
              <w:t>60 – 64 years</w:t>
            </w:r>
          </w:p>
        </w:tc>
        <w:tc>
          <w:tcPr>
            <w:tcW w:w="2783" w:type="dxa"/>
          </w:tcPr>
          <w:p w14:paraId="313D3A78" w14:textId="77777777" w:rsidR="001E4368" w:rsidRPr="007F52DF" w:rsidRDefault="00D73494" w:rsidP="00EC5DFC">
            <w:pPr>
              <w:pStyle w:val="LtrTableEntry"/>
              <w:jc w:val="center"/>
            </w:pPr>
            <w:r w:rsidRPr="007F52DF">
              <w:t>0</w:t>
            </w:r>
          </w:p>
        </w:tc>
        <w:tc>
          <w:tcPr>
            <w:tcW w:w="2785" w:type="dxa"/>
          </w:tcPr>
          <w:p w14:paraId="14F8E317" w14:textId="77777777" w:rsidR="001E4368" w:rsidRPr="007F52DF" w:rsidRDefault="001E4368" w:rsidP="00EC5DFC">
            <w:pPr>
              <w:pStyle w:val="LtrTableEntry"/>
              <w:jc w:val="center"/>
            </w:pPr>
          </w:p>
        </w:tc>
        <w:tc>
          <w:tcPr>
            <w:tcW w:w="2682" w:type="dxa"/>
          </w:tcPr>
          <w:p w14:paraId="2B2CA680" w14:textId="77777777" w:rsidR="001E4368" w:rsidRPr="007F52DF" w:rsidRDefault="001E4368" w:rsidP="00EC5DFC">
            <w:pPr>
              <w:pStyle w:val="LtrTableEntry"/>
              <w:jc w:val="center"/>
            </w:pPr>
          </w:p>
        </w:tc>
      </w:tr>
      <w:tr w:rsidR="00B3370F" w14:paraId="65579D1E" w14:textId="77777777" w:rsidTr="00035A57">
        <w:tc>
          <w:tcPr>
            <w:tcW w:w="1804" w:type="dxa"/>
          </w:tcPr>
          <w:p w14:paraId="690B4D01" w14:textId="77777777" w:rsidR="001E4368" w:rsidRPr="007F52DF" w:rsidRDefault="00D73494" w:rsidP="00035A57">
            <w:pPr>
              <w:pStyle w:val="LtrTableEntry"/>
            </w:pPr>
            <w:r w:rsidRPr="007F52DF">
              <w:t>65 – 69 years</w:t>
            </w:r>
          </w:p>
        </w:tc>
        <w:tc>
          <w:tcPr>
            <w:tcW w:w="2783" w:type="dxa"/>
          </w:tcPr>
          <w:p w14:paraId="71961E10" w14:textId="77777777" w:rsidR="001E4368" w:rsidRPr="007F52DF" w:rsidRDefault="00D73494" w:rsidP="00EC5DFC">
            <w:pPr>
              <w:pStyle w:val="LtrTableEntry"/>
              <w:jc w:val="center"/>
            </w:pPr>
            <w:r w:rsidRPr="007F52DF">
              <w:t>0</w:t>
            </w:r>
          </w:p>
        </w:tc>
        <w:tc>
          <w:tcPr>
            <w:tcW w:w="2785" w:type="dxa"/>
          </w:tcPr>
          <w:p w14:paraId="270C51F0" w14:textId="77777777" w:rsidR="001E4368" w:rsidRPr="007F52DF" w:rsidRDefault="001E4368" w:rsidP="00EC5DFC">
            <w:pPr>
              <w:pStyle w:val="LtrTableEntry"/>
              <w:jc w:val="center"/>
            </w:pPr>
          </w:p>
        </w:tc>
        <w:tc>
          <w:tcPr>
            <w:tcW w:w="2682" w:type="dxa"/>
          </w:tcPr>
          <w:p w14:paraId="1EB01D0F" w14:textId="77777777" w:rsidR="001E4368" w:rsidRPr="007F52DF" w:rsidRDefault="001E4368" w:rsidP="00EC5DFC">
            <w:pPr>
              <w:pStyle w:val="LtrTableEntry"/>
              <w:jc w:val="center"/>
            </w:pPr>
          </w:p>
        </w:tc>
      </w:tr>
      <w:tr w:rsidR="00B3370F" w14:paraId="1F6782F8" w14:textId="77777777" w:rsidTr="00035A57">
        <w:tc>
          <w:tcPr>
            <w:tcW w:w="1804" w:type="dxa"/>
          </w:tcPr>
          <w:p w14:paraId="6D336B7A" w14:textId="77777777" w:rsidR="001E4368" w:rsidRPr="007F52DF" w:rsidRDefault="00D73494" w:rsidP="00035A57">
            <w:pPr>
              <w:pStyle w:val="LtrTableEntry"/>
            </w:pPr>
            <w:r w:rsidRPr="007F52DF">
              <w:t>70 &gt; years</w:t>
            </w:r>
          </w:p>
        </w:tc>
        <w:tc>
          <w:tcPr>
            <w:tcW w:w="2783" w:type="dxa"/>
          </w:tcPr>
          <w:p w14:paraId="68AF1084" w14:textId="77777777" w:rsidR="001E4368" w:rsidRPr="007F52DF" w:rsidRDefault="00D73494" w:rsidP="00EC5DFC">
            <w:pPr>
              <w:pStyle w:val="LtrTableEntry"/>
              <w:jc w:val="center"/>
            </w:pPr>
            <w:r w:rsidRPr="007F52DF">
              <w:t>0</w:t>
            </w:r>
          </w:p>
        </w:tc>
        <w:tc>
          <w:tcPr>
            <w:tcW w:w="2785" w:type="dxa"/>
          </w:tcPr>
          <w:p w14:paraId="1F19990F" w14:textId="77777777" w:rsidR="001E4368" w:rsidRPr="007F52DF" w:rsidRDefault="001E4368" w:rsidP="00EC5DFC">
            <w:pPr>
              <w:pStyle w:val="LtrTableEntry"/>
              <w:jc w:val="center"/>
            </w:pPr>
          </w:p>
        </w:tc>
        <w:tc>
          <w:tcPr>
            <w:tcW w:w="2682" w:type="dxa"/>
          </w:tcPr>
          <w:p w14:paraId="341186A7" w14:textId="77777777" w:rsidR="001E4368" w:rsidRPr="007F52DF" w:rsidRDefault="001E4368" w:rsidP="00EC5DFC">
            <w:pPr>
              <w:pStyle w:val="LtrTableEntry"/>
              <w:jc w:val="center"/>
            </w:pPr>
          </w:p>
        </w:tc>
      </w:tr>
    </w:tbl>
    <w:p w14:paraId="519873B6" w14:textId="77777777" w:rsidR="00055249" w:rsidRDefault="00055249" w:rsidP="001E4368">
      <w:pPr>
        <w:pStyle w:val="LtrParaHeading"/>
      </w:pPr>
    </w:p>
    <w:p w14:paraId="611836D0" w14:textId="1A051F8F" w:rsidR="001E4368" w:rsidRPr="0031323C" w:rsidRDefault="00D73494" w:rsidP="001E4368">
      <w:pPr>
        <w:pStyle w:val="LtrParaHeading"/>
      </w:pPr>
      <w:r w:rsidRPr="0031323C">
        <w:t>Objectives</w:t>
      </w:r>
    </w:p>
    <w:p w14:paraId="78FBB7C7" w14:textId="03549F48" w:rsidR="001E4368" w:rsidRPr="0031323C" w:rsidRDefault="00D73494" w:rsidP="001E4368">
      <w:pPr>
        <w:pStyle w:val="LtrPara"/>
      </w:pPr>
      <w:r w:rsidRPr="0031323C">
        <w:t xml:space="preserve">The trustee of the </w:t>
      </w:r>
      <w:bookmarkStart w:id="2" w:name="HowNowEntityName_03"/>
      <w:r w:rsidR="008C006B" w:rsidRPr="001369E9">
        <w:rPr>
          <w:noProof/>
        </w:rPr>
        <w:t>M and K Howes Super Fund</w:t>
      </w:r>
      <w:bookmarkEnd w:id="2"/>
      <w:r w:rsidRPr="0031323C">
        <w:t xml:space="preserve"> (the Trustee’) has formulated the following investment objectives and strategy in accordance with section 52(2)(f) of the Superannuation Industry (Supervision) Act, 1993 (‘SIS Act’).</w:t>
      </w:r>
    </w:p>
    <w:p w14:paraId="6BC654E9" w14:textId="77777777" w:rsidR="001E4368" w:rsidRPr="0031323C" w:rsidRDefault="00D73494" w:rsidP="001E4368">
      <w:pPr>
        <w:pStyle w:val="LtrPara"/>
      </w:pPr>
      <w:r w:rsidRPr="0031323C">
        <w:t>The Trustee aims to:</w:t>
      </w:r>
    </w:p>
    <w:p w14:paraId="32B46628" w14:textId="77777777" w:rsidR="001E4368" w:rsidRPr="0031323C" w:rsidRDefault="00D73494" w:rsidP="00EC5DFC">
      <w:pPr>
        <w:pStyle w:val="LtrBullet"/>
        <w:numPr>
          <w:ilvl w:val="0"/>
          <w:numId w:val="9"/>
        </w:numPr>
        <w:spacing w:after="0" w:line="276" w:lineRule="auto"/>
        <w:ind w:hanging="720"/>
        <w:contextualSpacing/>
      </w:pPr>
      <w:r w:rsidRPr="0031323C">
        <w:t>Provide superannuation benefits to members and thei</w:t>
      </w:r>
      <w:r w:rsidRPr="0031323C">
        <w:t xml:space="preserve">r </w:t>
      </w:r>
      <w:proofErr w:type="spellStart"/>
      <w:r w:rsidRPr="0031323C">
        <w:t>dependants</w:t>
      </w:r>
      <w:proofErr w:type="spellEnd"/>
      <w:r w:rsidRPr="0031323C">
        <w:t xml:space="preserve"> to meet their retirement needs.</w:t>
      </w:r>
    </w:p>
    <w:p w14:paraId="4DBFDB95" w14:textId="77777777" w:rsidR="001E4368" w:rsidRPr="0031323C" w:rsidRDefault="00D73494" w:rsidP="00EC5DFC">
      <w:pPr>
        <w:pStyle w:val="LtrBullet"/>
        <w:numPr>
          <w:ilvl w:val="0"/>
          <w:numId w:val="9"/>
        </w:numPr>
        <w:spacing w:after="0" w:line="276" w:lineRule="auto"/>
        <w:ind w:hanging="720"/>
        <w:contextualSpacing/>
      </w:pPr>
      <w:r w:rsidRPr="0031323C">
        <w:t>Ensure that an appropriate mix of investments are held by the Fund to support these needs.</w:t>
      </w:r>
    </w:p>
    <w:p w14:paraId="5457AECE" w14:textId="295981A4" w:rsidR="000523E1" w:rsidRDefault="00D73494" w:rsidP="001E4368">
      <w:pPr>
        <w:pStyle w:val="LtrPara"/>
      </w:pPr>
      <w:r w:rsidRPr="0031323C">
        <w:t>As a general investment objective the Trustee aims to achieve reasonable medium to long term growth whilst maintaining a</w:t>
      </w:r>
      <w:r w:rsidRPr="0031323C">
        <w:t xml:space="preserve"> low level of capital volatility and risk.  The Trustee does accept that short term volatility will occur within asset classes however the Trustee will seek sufficient diversification within the Fund’s investment portfolio to minimise such risk and volatil</w:t>
      </w:r>
      <w:r w:rsidRPr="0031323C">
        <w:t>ity</w:t>
      </w:r>
      <w:r>
        <w:t>, or, resolve to accept concentration risk</w:t>
      </w:r>
      <w:r w:rsidRPr="0031323C">
        <w:t>.</w:t>
      </w:r>
    </w:p>
    <w:p w14:paraId="69CF27A6" w14:textId="77777777" w:rsidR="000523E1" w:rsidRDefault="00D73494">
      <w:pPr>
        <w:rPr>
          <w:szCs w:val="22"/>
          <w:lang w:eastAsia="en-US"/>
        </w:rPr>
      </w:pPr>
      <w:r>
        <w:br w:type="page"/>
      </w:r>
    </w:p>
    <w:p w14:paraId="42DA0035" w14:textId="77777777" w:rsidR="001E4368" w:rsidRPr="0031323C" w:rsidRDefault="00D73494" w:rsidP="001E4368">
      <w:pPr>
        <w:pStyle w:val="LtrParaHeading"/>
      </w:pPr>
      <w:r w:rsidRPr="0031323C">
        <w:lastRenderedPageBreak/>
        <w:t>Investment Strategy</w:t>
      </w:r>
    </w:p>
    <w:p w14:paraId="4046D642" w14:textId="77777777" w:rsidR="001E4368" w:rsidRPr="0031323C" w:rsidRDefault="00D73494" w:rsidP="001E4368">
      <w:pPr>
        <w:pStyle w:val="LtrPara"/>
      </w:pPr>
      <w:r w:rsidRPr="0031323C">
        <w:t>As a means to achieving this objective, the Trustee has determined that the Fund’s investments may include but not be limited to all or one of the following:</w:t>
      </w:r>
    </w:p>
    <w:p w14:paraId="7896761E" w14:textId="77777777" w:rsidR="001E4368" w:rsidRPr="0031323C" w:rsidRDefault="00D73494" w:rsidP="001E4368">
      <w:pPr>
        <w:pStyle w:val="LtrBullet"/>
        <w:numPr>
          <w:ilvl w:val="0"/>
          <w:numId w:val="9"/>
        </w:numPr>
        <w:spacing w:after="0" w:line="276" w:lineRule="auto"/>
        <w:ind w:hanging="720"/>
        <w:contextualSpacing/>
      </w:pPr>
      <w:r w:rsidRPr="0031323C">
        <w:t>Direct equities, stocks and d</w:t>
      </w:r>
      <w:r w:rsidRPr="0031323C">
        <w:t>erivatives and including the participation in dividend reinvestment programs and rights issues;</w:t>
      </w:r>
    </w:p>
    <w:p w14:paraId="3F3E5C6D" w14:textId="77777777" w:rsidR="001E4368" w:rsidRPr="0031323C" w:rsidRDefault="00D73494" w:rsidP="001E4368">
      <w:pPr>
        <w:pStyle w:val="LtrBullet"/>
        <w:numPr>
          <w:ilvl w:val="0"/>
          <w:numId w:val="9"/>
        </w:numPr>
        <w:spacing w:after="0" w:line="276" w:lineRule="auto"/>
        <w:ind w:hanging="720"/>
        <w:contextualSpacing/>
      </w:pPr>
      <w:r w:rsidRPr="0031323C">
        <w:t>Property trusts and associated investments;</w:t>
      </w:r>
    </w:p>
    <w:p w14:paraId="566CA16E" w14:textId="77777777" w:rsidR="001E4368" w:rsidRPr="0031323C" w:rsidRDefault="00D73494" w:rsidP="001E4368">
      <w:pPr>
        <w:pStyle w:val="LtrBullet"/>
        <w:numPr>
          <w:ilvl w:val="0"/>
          <w:numId w:val="9"/>
        </w:numPr>
        <w:spacing w:after="0" w:line="276" w:lineRule="auto"/>
        <w:ind w:hanging="720"/>
        <w:contextualSpacing/>
      </w:pPr>
      <w:r w:rsidRPr="0031323C">
        <w:t>Managed investments and associated products;</w:t>
      </w:r>
    </w:p>
    <w:p w14:paraId="2079DF04" w14:textId="77777777" w:rsidR="001E4368" w:rsidRPr="0031323C" w:rsidRDefault="00D73494" w:rsidP="001E4368">
      <w:pPr>
        <w:pStyle w:val="LtrBullet"/>
        <w:numPr>
          <w:ilvl w:val="0"/>
          <w:numId w:val="9"/>
        </w:numPr>
        <w:spacing w:after="0" w:line="276" w:lineRule="auto"/>
        <w:ind w:hanging="720"/>
        <w:contextualSpacing/>
      </w:pPr>
      <w:r w:rsidRPr="0031323C">
        <w:t>Direct residential industrial or commercial property investment;</w:t>
      </w:r>
    </w:p>
    <w:p w14:paraId="7E6D5F10" w14:textId="77777777" w:rsidR="001E4368" w:rsidRPr="0031323C" w:rsidRDefault="00D73494" w:rsidP="001E4368">
      <w:pPr>
        <w:pStyle w:val="LtrBullet"/>
        <w:numPr>
          <w:ilvl w:val="0"/>
          <w:numId w:val="9"/>
        </w:numPr>
        <w:spacing w:after="0" w:line="276" w:lineRule="auto"/>
        <w:ind w:hanging="720"/>
        <w:contextualSpacing/>
      </w:pPr>
      <w:r w:rsidRPr="0031323C">
        <w:t>Bank and other financial institution securities including term deposits, debentures, secured and unsecured notes and bonds;</w:t>
      </w:r>
    </w:p>
    <w:p w14:paraId="44E4D502" w14:textId="77777777" w:rsidR="001E4368" w:rsidRPr="0031323C" w:rsidRDefault="00D73494" w:rsidP="001E4368">
      <w:pPr>
        <w:pStyle w:val="LtrBullet"/>
        <w:numPr>
          <w:ilvl w:val="0"/>
          <w:numId w:val="9"/>
        </w:numPr>
        <w:spacing w:after="0" w:line="276" w:lineRule="auto"/>
        <w:ind w:hanging="720"/>
        <w:contextualSpacing/>
      </w:pPr>
      <w:r w:rsidRPr="0031323C">
        <w:t xml:space="preserve">Any other investment which would not </w:t>
      </w:r>
      <w:proofErr w:type="spellStart"/>
      <w:r w:rsidRPr="0031323C">
        <w:t>jeopardise</w:t>
      </w:r>
      <w:proofErr w:type="spellEnd"/>
      <w:r w:rsidRPr="0031323C">
        <w:t xml:space="preserve"> the complying statu</w:t>
      </w:r>
      <w:r w:rsidRPr="0031323C">
        <w:t>s of the Fund.</w:t>
      </w:r>
    </w:p>
    <w:p w14:paraId="6CF6A86D" w14:textId="77777777" w:rsidR="003B5B0D" w:rsidRDefault="003B5B0D" w:rsidP="001E4368">
      <w:pPr>
        <w:pStyle w:val="LtrPara"/>
      </w:pPr>
    </w:p>
    <w:p w14:paraId="19CC92A8" w14:textId="24E7D582" w:rsidR="001E4368" w:rsidRPr="0031323C" w:rsidRDefault="00D73494" w:rsidP="001E4368">
      <w:pPr>
        <w:pStyle w:val="LtrPara"/>
      </w:pPr>
      <w:r w:rsidRPr="0031323C">
        <w:t>The investment strategy of the fund comprises the following asset allocations:</w:t>
      </w:r>
    </w:p>
    <w:tbl>
      <w:tblPr>
        <w:tblStyle w:val="TableGrid"/>
        <w:tblW w:w="0" w:type="auto"/>
        <w:tblLook w:val="04A0" w:firstRow="1" w:lastRow="0" w:firstColumn="1" w:lastColumn="0" w:noHBand="0" w:noVBand="1"/>
      </w:tblPr>
      <w:tblGrid>
        <w:gridCol w:w="4673"/>
        <w:gridCol w:w="4343"/>
      </w:tblGrid>
      <w:tr w:rsidR="00B3370F" w14:paraId="11B68772" w14:textId="77777777" w:rsidTr="00F017AF">
        <w:tc>
          <w:tcPr>
            <w:tcW w:w="4673" w:type="dxa"/>
            <w:shd w:val="clear" w:color="auto" w:fill="D9D9D9" w:themeFill="background1" w:themeFillShade="D9"/>
          </w:tcPr>
          <w:p w14:paraId="58230435" w14:textId="77777777" w:rsidR="001E4368" w:rsidRPr="0031323C" w:rsidRDefault="00D73494" w:rsidP="00035A57">
            <w:pPr>
              <w:pStyle w:val="LtrTableHeading"/>
            </w:pPr>
            <w:r w:rsidRPr="0031323C">
              <w:t>Asset</w:t>
            </w:r>
          </w:p>
        </w:tc>
        <w:tc>
          <w:tcPr>
            <w:tcW w:w="4343" w:type="dxa"/>
            <w:shd w:val="clear" w:color="auto" w:fill="D9D9D9" w:themeFill="background1" w:themeFillShade="D9"/>
          </w:tcPr>
          <w:p w14:paraId="5265428A" w14:textId="312E7F2E" w:rsidR="001E4368" w:rsidRPr="0031323C" w:rsidRDefault="00D73494" w:rsidP="00035A57">
            <w:pPr>
              <w:pStyle w:val="LtrTableHeading"/>
            </w:pPr>
            <w:r w:rsidRPr="0031323C">
              <w:t>Range</w:t>
            </w:r>
            <w:r w:rsidR="00FD0546">
              <w:t xml:space="preserve"> Percentage</w:t>
            </w:r>
          </w:p>
        </w:tc>
      </w:tr>
      <w:tr w:rsidR="00B3370F" w14:paraId="01462C45" w14:textId="77777777" w:rsidTr="00F017AF">
        <w:tc>
          <w:tcPr>
            <w:tcW w:w="4673" w:type="dxa"/>
          </w:tcPr>
          <w:p w14:paraId="2276D5B1" w14:textId="77777777" w:rsidR="001E4368" w:rsidRPr="0031323C" w:rsidRDefault="00D73494" w:rsidP="00035A57">
            <w:pPr>
              <w:pStyle w:val="LtrTableEntry"/>
            </w:pPr>
            <w:r w:rsidRPr="0031323C">
              <w:t>Australian Equities</w:t>
            </w:r>
          </w:p>
        </w:tc>
        <w:tc>
          <w:tcPr>
            <w:tcW w:w="4343" w:type="dxa"/>
          </w:tcPr>
          <w:p w14:paraId="43F0A065" w14:textId="4ED82C02" w:rsidR="001E4368" w:rsidRPr="0031323C" w:rsidRDefault="00D73494" w:rsidP="00D1391F">
            <w:pPr>
              <w:pStyle w:val="LtrTableEntry"/>
              <w:jc w:val="center"/>
            </w:pPr>
            <w:r w:rsidRPr="0031323C">
              <w:t xml:space="preserve">0 </w:t>
            </w:r>
            <w:r w:rsidR="00FD0546">
              <w:t xml:space="preserve"> to</w:t>
            </w:r>
          </w:p>
        </w:tc>
      </w:tr>
      <w:tr w:rsidR="00B3370F" w14:paraId="3B87E074" w14:textId="77777777" w:rsidTr="00F017AF">
        <w:tc>
          <w:tcPr>
            <w:tcW w:w="4673" w:type="dxa"/>
          </w:tcPr>
          <w:p w14:paraId="7C1D03EB" w14:textId="77777777" w:rsidR="001E4368" w:rsidRPr="0031323C" w:rsidRDefault="00D73494" w:rsidP="00035A57">
            <w:pPr>
              <w:pStyle w:val="LtrTableEntry"/>
            </w:pPr>
            <w:r w:rsidRPr="0031323C">
              <w:t>Australian Fixed Interest</w:t>
            </w:r>
          </w:p>
        </w:tc>
        <w:tc>
          <w:tcPr>
            <w:tcW w:w="4343" w:type="dxa"/>
          </w:tcPr>
          <w:p w14:paraId="002C38B3" w14:textId="5FE47EF8" w:rsidR="001E4368" w:rsidRPr="0031323C" w:rsidRDefault="00D73494" w:rsidP="00D1391F">
            <w:pPr>
              <w:pStyle w:val="LtrTableEntry"/>
              <w:jc w:val="center"/>
            </w:pPr>
            <w:r w:rsidRPr="0031323C">
              <w:t xml:space="preserve">0 </w:t>
            </w:r>
            <w:r w:rsidR="00FD0546">
              <w:t xml:space="preserve"> to</w:t>
            </w:r>
          </w:p>
        </w:tc>
      </w:tr>
      <w:tr w:rsidR="00B3370F" w14:paraId="6DE4688F" w14:textId="77777777" w:rsidTr="00F017AF">
        <w:tc>
          <w:tcPr>
            <w:tcW w:w="4673" w:type="dxa"/>
          </w:tcPr>
          <w:p w14:paraId="66BA892C" w14:textId="77777777" w:rsidR="001E4368" w:rsidRPr="0031323C" w:rsidRDefault="00D73494" w:rsidP="00035A57">
            <w:pPr>
              <w:pStyle w:val="LtrTableEntry"/>
            </w:pPr>
            <w:r w:rsidRPr="0031323C">
              <w:t>Cash</w:t>
            </w:r>
          </w:p>
        </w:tc>
        <w:tc>
          <w:tcPr>
            <w:tcW w:w="4343" w:type="dxa"/>
          </w:tcPr>
          <w:p w14:paraId="1D2D4CB4" w14:textId="5BE7CF54" w:rsidR="001E4368" w:rsidRPr="0031323C" w:rsidRDefault="00D73494" w:rsidP="00D1391F">
            <w:pPr>
              <w:pStyle w:val="LtrTableEntry"/>
              <w:jc w:val="center"/>
            </w:pPr>
            <w:r w:rsidRPr="0031323C">
              <w:t xml:space="preserve">0 </w:t>
            </w:r>
            <w:r>
              <w:t xml:space="preserve"> to</w:t>
            </w:r>
          </w:p>
        </w:tc>
      </w:tr>
      <w:tr w:rsidR="00B3370F" w14:paraId="3EA57DA7" w14:textId="77777777" w:rsidTr="00F017AF">
        <w:tc>
          <w:tcPr>
            <w:tcW w:w="4673" w:type="dxa"/>
          </w:tcPr>
          <w:p w14:paraId="6E8C279D" w14:textId="77777777" w:rsidR="001E4368" w:rsidRPr="0031323C" w:rsidRDefault="00D73494" w:rsidP="00035A57">
            <w:pPr>
              <w:pStyle w:val="LtrTableEntry"/>
            </w:pPr>
            <w:r w:rsidRPr="0031323C">
              <w:t>Direct Property</w:t>
            </w:r>
          </w:p>
        </w:tc>
        <w:tc>
          <w:tcPr>
            <w:tcW w:w="4343" w:type="dxa"/>
          </w:tcPr>
          <w:p w14:paraId="11D8A102" w14:textId="67099E2F" w:rsidR="001E4368" w:rsidRPr="0031323C" w:rsidRDefault="00D73494" w:rsidP="00D1391F">
            <w:pPr>
              <w:pStyle w:val="LtrTableEntry"/>
              <w:jc w:val="center"/>
            </w:pPr>
            <w:r w:rsidRPr="0031323C">
              <w:t xml:space="preserve">0 </w:t>
            </w:r>
            <w:r>
              <w:t xml:space="preserve"> to</w:t>
            </w:r>
          </w:p>
        </w:tc>
      </w:tr>
      <w:tr w:rsidR="00B3370F" w14:paraId="0EDF2EE9" w14:textId="77777777" w:rsidTr="00F017AF">
        <w:tc>
          <w:tcPr>
            <w:tcW w:w="4673" w:type="dxa"/>
          </w:tcPr>
          <w:p w14:paraId="6DD244C9" w14:textId="77777777" w:rsidR="001E4368" w:rsidRPr="0031323C" w:rsidRDefault="00D73494" w:rsidP="00035A57">
            <w:pPr>
              <w:pStyle w:val="LtrTableEntry"/>
            </w:pPr>
            <w:r w:rsidRPr="0031323C">
              <w:t>Foreign Cash</w:t>
            </w:r>
          </w:p>
        </w:tc>
        <w:tc>
          <w:tcPr>
            <w:tcW w:w="4343" w:type="dxa"/>
          </w:tcPr>
          <w:p w14:paraId="36A5BA0C" w14:textId="770654A7" w:rsidR="001E4368" w:rsidRPr="0031323C" w:rsidRDefault="00D73494" w:rsidP="00D1391F">
            <w:pPr>
              <w:pStyle w:val="LtrTableEntry"/>
              <w:jc w:val="center"/>
            </w:pPr>
            <w:r w:rsidRPr="0031323C">
              <w:t>0</w:t>
            </w:r>
            <w:r>
              <w:t xml:space="preserve"> </w:t>
            </w:r>
            <w:r w:rsidRPr="0031323C">
              <w:t xml:space="preserve"> </w:t>
            </w:r>
            <w:r>
              <w:t>to</w:t>
            </w:r>
          </w:p>
        </w:tc>
      </w:tr>
      <w:tr w:rsidR="00B3370F" w14:paraId="21835375" w14:textId="77777777" w:rsidTr="00F017AF">
        <w:tc>
          <w:tcPr>
            <w:tcW w:w="4673" w:type="dxa"/>
          </w:tcPr>
          <w:p w14:paraId="23175E3D" w14:textId="77777777" w:rsidR="001E4368" w:rsidRPr="0031323C" w:rsidRDefault="00D73494" w:rsidP="00035A57">
            <w:pPr>
              <w:pStyle w:val="LtrTableEntry"/>
            </w:pPr>
            <w:r w:rsidRPr="0031323C">
              <w:t>International Equities</w:t>
            </w:r>
          </w:p>
        </w:tc>
        <w:tc>
          <w:tcPr>
            <w:tcW w:w="4343" w:type="dxa"/>
          </w:tcPr>
          <w:p w14:paraId="52870979" w14:textId="48EA73DE" w:rsidR="001E4368" w:rsidRPr="0031323C" w:rsidRDefault="00D73494" w:rsidP="00D1391F">
            <w:pPr>
              <w:pStyle w:val="LtrTableEntry"/>
              <w:jc w:val="center"/>
            </w:pPr>
            <w:r w:rsidRPr="0031323C">
              <w:t>0</w:t>
            </w:r>
            <w:r>
              <w:t xml:space="preserve"> </w:t>
            </w:r>
            <w:r w:rsidRPr="0031323C">
              <w:t xml:space="preserve"> </w:t>
            </w:r>
            <w:r>
              <w:t>to</w:t>
            </w:r>
          </w:p>
        </w:tc>
      </w:tr>
      <w:tr w:rsidR="00B3370F" w14:paraId="35BAE213" w14:textId="77777777" w:rsidTr="00F017AF">
        <w:tc>
          <w:tcPr>
            <w:tcW w:w="4673" w:type="dxa"/>
          </w:tcPr>
          <w:p w14:paraId="46256394" w14:textId="77777777" w:rsidR="001E4368" w:rsidRPr="0031323C" w:rsidRDefault="00D73494" w:rsidP="00035A57">
            <w:pPr>
              <w:pStyle w:val="LtrTableEntry"/>
            </w:pPr>
            <w:r w:rsidRPr="0031323C">
              <w:t>International Fixed Interest</w:t>
            </w:r>
          </w:p>
        </w:tc>
        <w:tc>
          <w:tcPr>
            <w:tcW w:w="4343" w:type="dxa"/>
          </w:tcPr>
          <w:p w14:paraId="236A07D3" w14:textId="656BE662" w:rsidR="001E4368" w:rsidRPr="0031323C" w:rsidRDefault="00D73494" w:rsidP="00D1391F">
            <w:pPr>
              <w:pStyle w:val="LtrTableEntry"/>
              <w:jc w:val="center"/>
            </w:pPr>
            <w:r w:rsidRPr="0031323C">
              <w:t xml:space="preserve">0 </w:t>
            </w:r>
            <w:r>
              <w:t xml:space="preserve"> to</w:t>
            </w:r>
          </w:p>
        </w:tc>
      </w:tr>
      <w:tr w:rsidR="00B3370F" w14:paraId="077502A2" w14:textId="77777777" w:rsidTr="00F017AF">
        <w:tc>
          <w:tcPr>
            <w:tcW w:w="4673" w:type="dxa"/>
          </w:tcPr>
          <w:p w14:paraId="5D7FC420" w14:textId="77777777" w:rsidR="001E4368" w:rsidRPr="0031323C" w:rsidRDefault="00D73494" w:rsidP="00035A57">
            <w:pPr>
              <w:pStyle w:val="LtrTableEntry"/>
            </w:pPr>
            <w:r w:rsidRPr="0031323C">
              <w:t>Listed Property</w:t>
            </w:r>
          </w:p>
        </w:tc>
        <w:tc>
          <w:tcPr>
            <w:tcW w:w="4343" w:type="dxa"/>
          </w:tcPr>
          <w:p w14:paraId="0993D592" w14:textId="77723C87" w:rsidR="001E4368" w:rsidRPr="0031323C" w:rsidRDefault="00D73494" w:rsidP="00D1391F">
            <w:pPr>
              <w:pStyle w:val="LtrTableEntry"/>
              <w:jc w:val="center"/>
            </w:pPr>
            <w:r w:rsidRPr="0031323C">
              <w:t xml:space="preserve">0 </w:t>
            </w:r>
            <w:r>
              <w:t xml:space="preserve"> to</w:t>
            </w:r>
          </w:p>
        </w:tc>
      </w:tr>
      <w:tr w:rsidR="00B3370F" w14:paraId="283BFAAA" w14:textId="77777777" w:rsidTr="00F017AF">
        <w:tc>
          <w:tcPr>
            <w:tcW w:w="4673" w:type="dxa"/>
          </w:tcPr>
          <w:p w14:paraId="2EF2A3FF" w14:textId="77777777" w:rsidR="001E4368" w:rsidRPr="0031323C" w:rsidRDefault="00D73494" w:rsidP="00035A57">
            <w:pPr>
              <w:pStyle w:val="LtrTableEntry"/>
            </w:pPr>
            <w:r w:rsidRPr="0031323C">
              <w:t>Mortgages</w:t>
            </w:r>
          </w:p>
        </w:tc>
        <w:tc>
          <w:tcPr>
            <w:tcW w:w="4343" w:type="dxa"/>
          </w:tcPr>
          <w:p w14:paraId="2D8A2862" w14:textId="7488FBB4" w:rsidR="001E4368" w:rsidRPr="0031323C" w:rsidRDefault="00D73494" w:rsidP="00D1391F">
            <w:pPr>
              <w:pStyle w:val="LtrTableEntry"/>
              <w:jc w:val="center"/>
            </w:pPr>
            <w:r w:rsidRPr="0031323C">
              <w:t xml:space="preserve">0 </w:t>
            </w:r>
            <w:r>
              <w:t xml:space="preserve"> to</w:t>
            </w:r>
          </w:p>
        </w:tc>
      </w:tr>
      <w:tr w:rsidR="00B3370F" w14:paraId="4E7D9D2A" w14:textId="77777777" w:rsidTr="00F017AF">
        <w:tc>
          <w:tcPr>
            <w:tcW w:w="4673" w:type="dxa"/>
          </w:tcPr>
          <w:p w14:paraId="200C150A" w14:textId="77777777" w:rsidR="001E4368" w:rsidRPr="0031323C" w:rsidRDefault="00D73494" w:rsidP="00035A57">
            <w:pPr>
              <w:pStyle w:val="LtrTableEntry"/>
            </w:pPr>
            <w:r w:rsidRPr="0031323C">
              <w:t>Other</w:t>
            </w:r>
          </w:p>
        </w:tc>
        <w:tc>
          <w:tcPr>
            <w:tcW w:w="4343" w:type="dxa"/>
          </w:tcPr>
          <w:p w14:paraId="0A8FECD7" w14:textId="462D218D" w:rsidR="001E4368" w:rsidRPr="0031323C" w:rsidRDefault="00D73494" w:rsidP="00D1391F">
            <w:pPr>
              <w:pStyle w:val="LtrTableEntry"/>
              <w:jc w:val="center"/>
            </w:pPr>
            <w:r w:rsidRPr="0031323C">
              <w:t>0</w:t>
            </w:r>
            <w:r>
              <w:t xml:space="preserve"> </w:t>
            </w:r>
            <w:r w:rsidRPr="0031323C">
              <w:t xml:space="preserve"> </w:t>
            </w:r>
            <w:r>
              <w:t>to</w:t>
            </w:r>
          </w:p>
        </w:tc>
      </w:tr>
    </w:tbl>
    <w:p w14:paraId="440342C7" w14:textId="77777777" w:rsidR="001E4368" w:rsidRDefault="001E4368" w:rsidP="001E4368">
      <w:pPr>
        <w:pStyle w:val="LtrPara"/>
      </w:pPr>
    </w:p>
    <w:p w14:paraId="4C25A30F" w14:textId="0695FA35" w:rsidR="001E4368" w:rsidRPr="0031323C" w:rsidRDefault="00D73494" w:rsidP="001E4368">
      <w:pPr>
        <w:pStyle w:val="LtrPara"/>
      </w:pPr>
      <w:r w:rsidRPr="00FD0546">
        <w:t xml:space="preserve">These ranges are purely indicative and should allow for market fluctuations.  As such the total of the higher range for all asset </w:t>
      </w:r>
      <w:r w:rsidRPr="00FD0546">
        <w:t>classes may exceed 100 percent.</w:t>
      </w:r>
      <w:r>
        <w:t xml:space="preserve"> T</w:t>
      </w:r>
      <w:r w:rsidRPr="0031323C">
        <w:t>he Trustee may vary the allocations at any time if satisfied that the current market conditions or the Fund’s circumstances warrant such a change.  If the Trustees wish to invest outside these parameters, the investment str</w:t>
      </w:r>
      <w:r w:rsidRPr="0031323C">
        <w:t xml:space="preserve">ategy of the Fund must be revised in writing and all decisions </w:t>
      </w:r>
      <w:proofErr w:type="spellStart"/>
      <w:r w:rsidRPr="0031323C">
        <w:t>minuted</w:t>
      </w:r>
      <w:proofErr w:type="spellEnd"/>
      <w:r w:rsidRPr="0031323C">
        <w:t>.</w:t>
      </w:r>
    </w:p>
    <w:p w14:paraId="5AED5D53" w14:textId="77777777" w:rsidR="001E4368" w:rsidRPr="0031323C" w:rsidRDefault="00D73494" w:rsidP="001E4368">
      <w:pPr>
        <w:pStyle w:val="LtrPara"/>
      </w:pPr>
      <w:r w:rsidRPr="0031323C">
        <w:t>The Trustee may from time to time seek the professional advice of an accountant, solicitor or financial planner in the formulation of the investment strategy.</w:t>
      </w:r>
    </w:p>
    <w:p w14:paraId="5F22220D" w14:textId="77777777" w:rsidR="001E4368" w:rsidRPr="0031323C" w:rsidRDefault="00D73494" w:rsidP="001E4368">
      <w:pPr>
        <w:pStyle w:val="LtrPara"/>
      </w:pPr>
      <w:r w:rsidRPr="0031323C">
        <w:t>In formulating this strat</w:t>
      </w:r>
      <w:r w:rsidRPr="0031323C">
        <w:t>egy</w:t>
      </w:r>
      <w:r>
        <w:t>,</w:t>
      </w:r>
      <w:r w:rsidRPr="0031323C">
        <w:t xml:space="preserve"> the Trustee has taken into consideration relevant features of the investment types in accordance with both the Fund’s objectives and the superannuation laws.  The Trustee considered:</w:t>
      </w:r>
    </w:p>
    <w:p w14:paraId="3B8131F4" w14:textId="77777777" w:rsidR="001E4368" w:rsidRPr="0031323C" w:rsidRDefault="00D73494" w:rsidP="001E4368">
      <w:pPr>
        <w:pStyle w:val="LtrBullet"/>
        <w:numPr>
          <w:ilvl w:val="0"/>
          <w:numId w:val="9"/>
        </w:numPr>
        <w:spacing w:after="0" w:line="276" w:lineRule="auto"/>
        <w:ind w:left="0" w:firstLine="0"/>
        <w:contextualSpacing/>
      </w:pPr>
      <w:r w:rsidRPr="0031323C">
        <w:t>The risk and return of the investments;</w:t>
      </w:r>
    </w:p>
    <w:p w14:paraId="66662053" w14:textId="77777777" w:rsidR="001E4368" w:rsidRPr="0031323C" w:rsidRDefault="00D73494" w:rsidP="001E4368">
      <w:pPr>
        <w:pStyle w:val="LtrBullet"/>
        <w:numPr>
          <w:ilvl w:val="0"/>
          <w:numId w:val="9"/>
        </w:numPr>
        <w:spacing w:after="0" w:line="276" w:lineRule="auto"/>
        <w:ind w:left="0" w:firstLine="0"/>
        <w:contextualSpacing/>
      </w:pPr>
      <w:r w:rsidRPr="0031323C">
        <w:t>Diversification of investmen</w:t>
      </w:r>
      <w:r w:rsidRPr="0031323C">
        <w:t>ts;</w:t>
      </w:r>
    </w:p>
    <w:p w14:paraId="76F30350" w14:textId="77777777" w:rsidR="001E4368" w:rsidRPr="0031323C" w:rsidRDefault="00D73494" w:rsidP="001E4368">
      <w:pPr>
        <w:pStyle w:val="LtrBullet"/>
        <w:numPr>
          <w:ilvl w:val="0"/>
          <w:numId w:val="9"/>
        </w:numPr>
        <w:spacing w:after="0" w:line="276" w:lineRule="auto"/>
        <w:ind w:left="0" w:firstLine="0"/>
        <w:contextualSpacing/>
      </w:pPr>
      <w:r w:rsidRPr="0031323C">
        <w:t>Liquidity and cash-flow requirements; and</w:t>
      </w:r>
    </w:p>
    <w:p w14:paraId="63D31B3B" w14:textId="77777777" w:rsidR="001E4368" w:rsidRPr="0031323C" w:rsidRDefault="00D73494" w:rsidP="001E4368">
      <w:pPr>
        <w:pStyle w:val="LtrBullet"/>
        <w:numPr>
          <w:ilvl w:val="0"/>
          <w:numId w:val="9"/>
        </w:numPr>
        <w:spacing w:after="0" w:line="276" w:lineRule="auto"/>
        <w:ind w:left="0" w:firstLine="0"/>
        <w:contextualSpacing/>
      </w:pPr>
      <w:r w:rsidRPr="0031323C">
        <w:t>Ability of the Fund to discharge its liabilities.</w:t>
      </w:r>
    </w:p>
    <w:p w14:paraId="34C89A59" w14:textId="77777777" w:rsidR="001E4368" w:rsidRDefault="00D73494" w:rsidP="001E4368">
      <w:pPr>
        <w:pStyle w:val="LtrParaHeading"/>
      </w:pPr>
      <w:r>
        <w:lastRenderedPageBreak/>
        <w:t>Liabilities</w:t>
      </w:r>
    </w:p>
    <w:p w14:paraId="0ED62219" w14:textId="77777777" w:rsidR="001E4368" w:rsidRPr="000E6050" w:rsidRDefault="00D73494" w:rsidP="001E4368">
      <w:pPr>
        <w:pStyle w:val="LtrParaHeading"/>
        <w:rPr>
          <w:b w:val="0"/>
          <w:bCs/>
        </w:rPr>
      </w:pPr>
      <w:r w:rsidRPr="000E6050">
        <w:rPr>
          <w:b w:val="0"/>
          <w:bCs/>
        </w:rPr>
        <w:t xml:space="preserve">The </w:t>
      </w:r>
      <w:r>
        <w:rPr>
          <w:b w:val="0"/>
          <w:bCs/>
        </w:rPr>
        <w:t xml:space="preserve">Trustees have considered permitted fund liabilities, including the requirements, risks and opportunities associated with limited </w:t>
      </w:r>
      <w:r>
        <w:rPr>
          <w:b w:val="0"/>
          <w:bCs/>
        </w:rPr>
        <w:t>recourse borrowing arrangements.</w:t>
      </w:r>
    </w:p>
    <w:p w14:paraId="47E6E3C9" w14:textId="77777777" w:rsidR="001E4368" w:rsidRPr="0031323C" w:rsidRDefault="00D73494" w:rsidP="001E4368">
      <w:pPr>
        <w:pStyle w:val="LtrParaHeading"/>
      </w:pPr>
      <w:r w:rsidRPr="0031323C">
        <w:t>Insurance</w:t>
      </w:r>
    </w:p>
    <w:p w14:paraId="7FBD7387" w14:textId="3814448A" w:rsidR="001E4368" w:rsidRPr="0031323C" w:rsidRDefault="00D73494" w:rsidP="001E4368">
      <w:pPr>
        <w:pStyle w:val="LtrPara"/>
      </w:pPr>
      <w:r w:rsidRPr="0031323C">
        <w:t xml:space="preserve">The Trustees have considered and consulted Professional Advice where necessary to ensure that all fund members have the correct type and level of insurance.  Insurance may be held within or outside the </w:t>
      </w:r>
      <w:bookmarkStart w:id="3" w:name="HowNowEntityName_02"/>
      <w:r w:rsidR="008C006B" w:rsidRPr="000C3565">
        <w:rPr>
          <w:noProof/>
        </w:rPr>
        <w:t>M and K Howes Super Fund</w:t>
      </w:r>
      <w:bookmarkEnd w:id="3"/>
      <w:r w:rsidRPr="0031323C">
        <w:t>.</w:t>
      </w:r>
    </w:p>
    <w:p w14:paraId="2205F642" w14:textId="77777777" w:rsidR="001E4368" w:rsidRPr="0031323C" w:rsidRDefault="00D73494" w:rsidP="001E4368">
      <w:pPr>
        <w:pStyle w:val="LtrParaHeading"/>
      </w:pPr>
      <w:r w:rsidRPr="0031323C">
        <w:t>Policies</w:t>
      </w:r>
    </w:p>
    <w:p w14:paraId="59C51153" w14:textId="77777777" w:rsidR="001E4368" w:rsidRPr="0031323C" w:rsidRDefault="00D73494" w:rsidP="001E4368">
      <w:pPr>
        <w:pStyle w:val="LtrPara"/>
      </w:pPr>
      <w:r w:rsidRPr="0031323C">
        <w:t>The policies adopte</w:t>
      </w:r>
      <w:r w:rsidRPr="0031323C">
        <w:t>d by the Trustee in order to achieve these objectives are:</w:t>
      </w:r>
    </w:p>
    <w:p w14:paraId="783684B3" w14:textId="77777777" w:rsidR="001E4368" w:rsidRPr="0031323C" w:rsidRDefault="00D73494" w:rsidP="001E4368">
      <w:pPr>
        <w:pStyle w:val="LtrBullet"/>
        <w:numPr>
          <w:ilvl w:val="0"/>
          <w:numId w:val="9"/>
        </w:numPr>
        <w:spacing w:after="0" w:line="276" w:lineRule="auto"/>
        <w:ind w:hanging="720"/>
        <w:contextualSpacing/>
      </w:pPr>
      <w:r w:rsidRPr="0031323C">
        <w:t>Regular monitoring of the performance of the Fund’s investments which would cover the rate of return in income and capital growth, the risk profile of the overall investment mix and the expected ca</w:t>
      </w:r>
      <w:r w:rsidRPr="0031323C">
        <w:t>sh flow requirements of the Fund.</w:t>
      </w:r>
    </w:p>
    <w:p w14:paraId="5E8DC847" w14:textId="77777777" w:rsidR="001E4368" w:rsidRPr="0031323C" w:rsidRDefault="00D73494" w:rsidP="001E4368">
      <w:pPr>
        <w:pStyle w:val="LtrBullet"/>
        <w:numPr>
          <w:ilvl w:val="0"/>
          <w:numId w:val="9"/>
        </w:numPr>
        <w:spacing w:after="0" w:line="276" w:lineRule="auto"/>
        <w:ind w:hanging="720"/>
        <w:contextualSpacing/>
      </w:pPr>
      <w:r w:rsidRPr="0031323C">
        <w:t>Balancing the Fund’s investment portfolio due to changes in market conditions.</w:t>
      </w:r>
    </w:p>
    <w:p w14:paraId="00493260" w14:textId="77777777" w:rsidR="001E4368" w:rsidRPr="0031323C" w:rsidRDefault="00D73494" w:rsidP="001E4368">
      <w:pPr>
        <w:pStyle w:val="LtrPara"/>
      </w:pPr>
      <w:r w:rsidRPr="0031323C">
        <w:t>The Trustee aims to ensure investments of the Fund continue to comply with the overall strategy and so may review the strategy as required howe</w:t>
      </w:r>
      <w:r w:rsidRPr="0031323C">
        <w:t>ver it will be reviewed at least annually and the Trustee reserves the right to change the strategy at any time.</w:t>
      </w:r>
    </w:p>
    <w:p w14:paraId="5038E308" w14:textId="77777777" w:rsidR="001E4368" w:rsidRDefault="001E4368" w:rsidP="001E4368">
      <w:pPr>
        <w:pStyle w:val="LtrParaHeading"/>
      </w:pPr>
    </w:p>
    <w:p w14:paraId="131E338B" w14:textId="244A44AA" w:rsidR="001E4368" w:rsidRPr="00055249" w:rsidRDefault="00D73494" w:rsidP="001E4368">
      <w:pPr>
        <w:pStyle w:val="LtrParaHeading"/>
        <w:rPr>
          <w:b w:val="0"/>
          <w:bCs/>
        </w:rPr>
      </w:pPr>
      <w:r w:rsidRPr="00055249">
        <w:rPr>
          <w:b w:val="0"/>
          <w:bCs/>
        </w:rPr>
        <w:t>Signed by / on behalf of the Trustee</w:t>
      </w:r>
    </w:p>
    <w:p w14:paraId="08AC047D" w14:textId="77777777" w:rsidR="001E4368" w:rsidRPr="0031323C" w:rsidRDefault="001E4368" w:rsidP="001E4368">
      <w:pPr>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3888"/>
      </w:tblGrid>
      <w:tr w:rsidR="00B3370F" w14:paraId="3BF902A1" w14:textId="77777777" w:rsidTr="00D73494">
        <w:tc>
          <w:tcPr>
            <w:tcW w:w="5138" w:type="dxa"/>
          </w:tcPr>
          <w:p w14:paraId="4A34D89A" w14:textId="3A96D1EE" w:rsidR="001E4368" w:rsidRPr="006332F0" w:rsidRDefault="00D73494" w:rsidP="001E4368">
            <w:pPr>
              <w:pStyle w:val="LtrTableHeading"/>
              <w:jc w:val="left"/>
              <w:rPr>
                <w:highlight w:val="magenta"/>
              </w:rPr>
            </w:pPr>
            <w:r w:rsidRPr="00D73494">
              <w:t>Mitchell Howes</w:t>
            </w:r>
          </w:p>
        </w:tc>
        <w:tc>
          <w:tcPr>
            <w:tcW w:w="3888" w:type="dxa"/>
            <w:tcBorders>
              <w:bottom w:val="single" w:sz="4" w:space="0" w:color="auto"/>
            </w:tcBorders>
          </w:tcPr>
          <w:p w14:paraId="686669E2" w14:textId="77777777" w:rsidR="001E4368" w:rsidRPr="0031323C" w:rsidRDefault="001E4368" w:rsidP="00035A57">
            <w:pPr>
              <w:pStyle w:val="LtrTableEntry"/>
            </w:pPr>
          </w:p>
        </w:tc>
      </w:tr>
      <w:tr w:rsidR="00B3370F" w14:paraId="659EF98C" w14:textId="77777777" w:rsidTr="00D73494">
        <w:tc>
          <w:tcPr>
            <w:tcW w:w="5138" w:type="dxa"/>
          </w:tcPr>
          <w:p w14:paraId="6C0CD10E" w14:textId="53D19FA9" w:rsidR="001E4368" w:rsidRPr="006332F0" w:rsidRDefault="00D73494" w:rsidP="001E4368">
            <w:pPr>
              <w:pStyle w:val="LtrTableHeading"/>
              <w:jc w:val="left"/>
              <w:rPr>
                <w:b w:val="0"/>
                <w:bCs/>
                <w:highlight w:val="magenta"/>
                <w:u w:val="single"/>
              </w:rPr>
            </w:pPr>
            <w:r w:rsidRPr="00D73494">
              <w:rPr>
                <w:b w:val="0"/>
                <w:bCs/>
              </w:rPr>
              <w:t>Trustee</w:t>
            </w:r>
          </w:p>
        </w:tc>
        <w:tc>
          <w:tcPr>
            <w:tcW w:w="3888" w:type="dxa"/>
          </w:tcPr>
          <w:p w14:paraId="42BCF20F" w14:textId="77777777" w:rsidR="001E4368" w:rsidRPr="0031323C" w:rsidRDefault="001E4368" w:rsidP="00035A57">
            <w:pPr>
              <w:pStyle w:val="LtrTableEntry"/>
            </w:pPr>
          </w:p>
        </w:tc>
      </w:tr>
      <w:tr w:rsidR="00B3370F" w14:paraId="0E1761B0" w14:textId="77777777" w:rsidTr="00D73494">
        <w:tc>
          <w:tcPr>
            <w:tcW w:w="5138" w:type="dxa"/>
          </w:tcPr>
          <w:p w14:paraId="1ED8505F" w14:textId="77777777" w:rsidR="001E4368" w:rsidRPr="006332F0" w:rsidRDefault="001E4368" w:rsidP="001E4368">
            <w:pPr>
              <w:pStyle w:val="LtrTableHeading"/>
              <w:jc w:val="left"/>
              <w:rPr>
                <w:highlight w:val="magenta"/>
              </w:rPr>
            </w:pPr>
          </w:p>
        </w:tc>
        <w:tc>
          <w:tcPr>
            <w:tcW w:w="3888" w:type="dxa"/>
          </w:tcPr>
          <w:p w14:paraId="6B8FFE30" w14:textId="77777777" w:rsidR="001E4368" w:rsidRPr="0031323C" w:rsidRDefault="001E4368" w:rsidP="00035A57">
            <w:pPr>
              <w:pStyle w:val="LtrTableEntry"/>
            </w:pPr>
          </w:p>
        </w:tc>
      </w:tr>
      <w:tr w:rsidR="00B3370F" w14:paraId="547BBA2C" w14:textId="77777777" w:rsidTr="00D73494">
        <w:tc>
          <w:tcPr>
            <w:tcW w:w="5138" w:type="dxa"/>
          </w:tcPr>
          <w:p w14:paraId="320B664B" w14:textId="056505AB" w:rsidR="001E4368" w:rsidRPr="00D73494" w:rsidRDefault="00D73494" w:rsidP="001E4368">
            <w:pPr>
              <w:pStyle w:val="LtrTableHeading"/>
              <w:jc w:val="left"/>
              <w:rPr>
                <w:color w:val="FF0000"/>
                <w:highlight w:val="magenta"/>
              </w:rPr>
            </w:pPr>
            <w:r w:rsidRPr="00D73494">
              <w:t>Kathleen Howes</w:t>
            </w:r>
          </w:p>
        </w:tc>
        <w:tc>
          <w:tcPr>
            <w:tcW w:w="3888" w:type="dxa"/>
            <w:tcBorders>
              <w:bottom w:val="single" w:sz="4" w:space="0" w:color="auto"/>
            </w:tcBorders>
          </w:tcPr>
          <w:p w14:paraId="7A601E6A" w14:textId="77777777" w:rsidR="001E4368" w:rsidRPr="0031323C" w:rsidRDefault="001E4368" w:rsidP="00035A57">
            <w:pPr>
              <w:pStyle w:val="LtrTableEntry"/>
            </w:pPr>
          </w:p>
        </w:tc>
      </w:tr>
      <w:tr w:rsidR="00B3370F" w14:paraId="503826F6" w14:textId="77777777" w:rsidTr="00D73494">
        <w:trPr>
          <w:trHeight w:val="80"/>
        </w:trPr>
        <w:tc>
          <w:tcPr>
            <w:tcW w:w="5138" w:type="dxa"/>
          </w:tcPr>
          <w:p w14:paraId="664D7FE6" w14:textId="3857E10A" w:rsidR="001E4368" w:rsidRPr="006332F0" w:rsidRDefault="00D73494" w:rsidP="001E4368">
            <w:pPr>
              <w:pStyle w:val="LtrTableHeading"/>
              <w:jc w:val="left"/>
              <w:rPr>
                <w:b w:val="0"/>
                <w:bCs/>
                <w:highlight w:val="magenta"/>
              </w:rPr>
            </w:pPr>
            <w:r w:rsidRPr="00D73494">
              <w:rPr>
                <w:b w:val="0"/>
                <w:bCs/>
              </w:rPr>
              <w:t>Trustee</w:t>
            </w:r>
          </w:p>
        </w:tc>
        <w:tc>
          <w:tcPr>
            <w:tcW w:w="3888" w:type="dxa"/>
          </w:tcPr>
          <w:p w14:paraId="46309104" w14:textId="77777777" w:rsidR="001E4368" w:rsidRPr="0031323C" w:rsidRDefault="001E4368" w:rsidP="00035A57">
            <w:pPr>
              <w:pStyle w:val="LtrTableEntry"/>
            </w:pPr>
          </w:p>
        </w:tc>
      </w:tr>
      <w:tr w:rsidR="00B3370F" w14:paraId="07D9571D" w14:textId="77777777" w:rsidTr="00D73494">
        <w:tc>
          <w:tcPr>
            <w:tcW w:w="5138" w:type="dxa"/>
          </w:tcPr>
          <w:p w14:paraId="153B8369" w14:textId="77777777" w:rsidR="001E4368" w:rsidRPr="0031323C" w:rsidRDefault="001E4368" w:rsidP="001E4368">
            <w:pPr>
              <w:pStyle w:val="LtrTableHeading"/>
              <w:jc w:val="left"/>
            </w:pPr>
          </w:p>
        </w:tc>
        <w:tc>
          <w:tcPr>
            <w:tcW w:w="3888" w:type="dxa"/>
          </w:tcPr>
          <w:p w14:paraId="272D1708" w14:textId="77777777" w:rsidR="001E4368" w:rsidRPr="0031323C" w:rsidRDefault="001E4368" w:rsidP="00035A57">
            <w:pPr>
              <w:pStyle w:val="LtrTableEntry"/>
            </w:pPr>
          </w:p>
        </w:tc>
      </w:tr>
      <w:tr w:rsidR="00B3370F" w14:paraId="70B8ED50" w14:textId="77777777" w:rsidTr="00D73494">
        <w:trPr>
          <w:trHeight w:val="186"/>
        </w:trPr>
        <w:tc>
          <w:tcPr>
            <w:tcW w:w="5138" w:type="dxa"/>
          </w:tcPr>
          <w:p w14:paraId="37EFB8C5" w14:textId="77777777" w:rsidR="001E4368" w:rsidRPr="00FD0546" w:rsidRDefault="00D73494" w:rsidP="001E4368">
            <w:pPr>
              <w:pStyle w:val="LtrTableHeading"/>
              <w:jc w:val="left"/>
              <w:rPr>
                <w:b w:val="0"/>
                <w:bCs/>
              </w:rPr>
            </w:pPr>
            <w:r w:rsidRPr="00FD0546">
              <w:rPr>
                <w:b w:val="0"/>
                <w:bCs/>
              </w:rPr>
              <w:t>Date</w:t>
            </w:r>
          </w:p>
        </w:tc>
        <w:tc>
          <w:tcPr>
            <w:tcW w:w="3888" w:type="dxa"/>
            <w:tcBorders>
              <w:bottom w:val="single" w:sz="4" w:space="0" w:color="auto"/>
            </w:tcBorders>
          </w:tcPr>
          <w:p w14:paraId="0290311E" w14:textId="77777777" w:rsidR="001E4368" w:rsidRPr="0031323C" w:rsidRDefault="001E4368" w:rsidP="00035A57">
            <w:pPr>
              <w:pStyle w:val="LtrTableEntry"/>
            </w:pPr>
          </w:p>
        </w:tc>
      </w:tr>
    </w:tbl>
    <w:p w14:paraId="707B7FA9" w14:textId="6FCD12C0" w:rsidR="00AF448B" w:rsidRPr="001E4368" w:rsidRDefault="00AF448B" w:rsidP="001E4368"/>
    <w:sectPr w:rsidR="00AF448B" w:rsidRPr="001E4368" w:rsidSect="001E4368">
      <w:pgSz w:w="11906" w:h="16838" w:code="9"/>
      <w:pgMar w:top="1440" w:right="1440" w:bottom="1440" w:left="1440" w:header="720" w:footer="19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63B0DF2"/>
    <w:multiLevelType w:val="hybridMultilevel"/>
    <w:tmpl w:val="87DEBB00"/>
    <w:lvl w:ilvl="0" w:tplc="42A63A88">
      <w:start w:val="1"/>
      <w:numFmt w:val="bullet"/>
      <w:lvlText w:val=""/>
      <w:lvlJc w:val="left"/>
      <w:pPr>
        <w:ind w:left="720" w:hanging="360"/>
      </w:pPr>
      <w:rPr>
        <w:rFonts w:ascii="Symbol" w:hAnsi="Symbol" w:hint="default"/>
      </w:rPr>
    </w:lvl>
    <w:lvl w:ilvl="1" w:tplc="F9E2FB58" w:tentative="1">
      <w:start w:val="1"/>
      <w:numFmt w:val="bullet"/>
      <w:lvlText w:val="o"/>
      <w:lvlJc w:val="left"/>
      <w:pPr>
        <w:ind w:left="1440" w:hanging="360"/>
      </w:pPr>
      <w:rPr>
        <w:rFonts w:ascii="Courier New" w:hAnsi="Courier New" w:cs="Courier New" w:hint="default"/>
      </w:rPr>
    </w:lvl>
    <w:lvl w:ilvl="2" w:tplc="25521D20" w:tentative="1">
      <w:start w:val="1"/>
      <w:numFmt w:val="bullet"/>
      <w:lvlText w:val=""/>
      <w:lvlJc w:val="left"/>
      <w:pPr>
        <w:ind w:left="2160" w:hanging="360"/>
      </w:pPr>
      <w:rPr>
        <w:rFonts w:ascii="Wingdings" w:hAnsi="Wingdings" w:hint="default"/>
      </w:rPr>
    </w:lvl>
    <w:lvl w:ilvl="3" w:tplc="A4D89706" w:tentative="1">
      <w:start w:val="1"/>
      <w:numFmt w:val="bullet"/>
      <w:lvlText w:val=""/>
      <w:lvlJc w:val="left"/>
      <w:pPr>
        <w:ind w:left="2880" w:hanging="360"/>
      </w:pPr>
      <w:rPr>
        <w:rFonts w:ascii="Symbol" w:hAnsi="Symbol" w:hint="default"/>
      </w:rPr>
    </w:lvl>
    <w:lvl w:ilvl="4" w:tplc="30E08000" w:tentative="1">
      <w:start w:val="1"/>
      <w:numFmt w:val="bullet"/>
      <w:lvlText w:val="o"/>
      <w:lvlJc w:val="left"/>
      <w:pPr>
        <w:ind w:left="3600" w:hanging="360"/>
      </w:pPr>
      <w:rPr>
        <w:rFonts w:ascii="Courier New" w:hAnsi="Courier New" w:cs="Courier New" w:hint="default"/>
      </w:rPr>
    </w:lvl>
    <w:lvl w:ilvl="5" w:tplc="1B48EFA4" w:tentative="1">
      <w:start w:val="1"/>
      <w:numFmt w:val="bullet"/>
      <w:lvlText w:val=""/>
      <w:lvlJc w:val="left"/>
      <w:pPr>
        <w:ind w:left="4320" w:hanging="360"/>
      </w:pPr>
      <w:rPr>
        <w:rFonts w:ascii="Wingdings" w:hAnsi="Wingdings" w:hint="default"/>
      </w:rPr>
    </w:lvl>
    <w:lvl w:ilvl="6" w:tplc="1ACC75AC" w:tentative="1">
      <w:start w:val="1"/>
      <w:numFmt w:val="bullet"/>
      <w:lvlText w:val=""/>
      <w:lvlJc w:val="left"/>
      <w:pPr>
        <w:ind w:left="5040" w:hanging="360"/>
      </w:pPr>
      <w:rPr>
        <w:rFonts w:ascii="Symbol" w:hAnsi="Symbol" w:hint="default"/>
      </w:rPr>
    </w:lvl>
    <w:lvl w:ilvl="7" w:tplc="E9948626" w:tentative="1">
      <w:start w:val="1"/>
      <w:numFmt w:val="bullet"/>
      <w:lvlText w:val="o"/>
      <w:lvlJc w:val="left"/>
      <w:pPr>
        <w:ind w:left="5760" w:hanging="360"/>
      </w:pPr>
      <w:rPr>
        <w:rFonts w:ascii="Courier New" w:hAnsi="Courier New" w:cs="Courier New" w:hint="default"/>
      </w:rPr>
    </w:lvl>
    <w:lvl w:ilvl="8" w:tplc="E190022E" w:tentative="1">
      <w:start w:val="1"/>
      <w:numFmt w:val="bullet"/>
      <w:lvlText w:val=""/>
      <w:lvlJc w:val="left"/>
      <w:pPr>
        <w:ind w:left="6480" w:hanging="360"/>
      </w:pPr>
      <w:rPr>
        <w:rFonts w:ascii="Wingdings" w:hAnsi="Wingdings" w:hint="default"/>
      </w:rPr>
    </w:lvl>
  </w:abstractNum>
  <w:abstractNum w:abstractNumId="1" w15:restartNumberingAfterBreak="1">
    <w:nsid w:val="21EB6751"/>
    <w:multiLevelType w:val="multilevel"/>
    <w:tmpl w:val="B758491E"/>
    <w:lvl w:ilvl="0">
      <w:start w:val="1"/>
      <w:numFmt w:val="decimal"/>
      <w:lvlText w:val="%1."/>
      <w:lvlJc w:val="left"/>
      <w:pPr>
        <w:tabs>
          <w:tab w:val="num" w:pos="851"/>
        </w:tabs>
        <w:ind w:left="851" w:hanging="851"/>
      </w:pPr>
      <w:rPr>
        <w:rFonts w:ascii="Times New Roman" w:hAnsi="Times New Roman" w:hint="default"/>
        <w:b w:val="0"/>
        <w:i w:val="0"/>
        <w:sz w:val="22"/>
        <w:szCs w:val="22"/>
      </w:rPr>
    </w:lvl>
    <w:lvl w:ilvl="1">
      <w:start w:val="1"/>
      <w:numFmt w:val="lowerLetter"/>
      <w:lvlText w:val="(%2)"/>
      <w:lvlJc w:val="left"/>
      <w:pPr>
        <w:tabs>
          <w:tab w:val="num" w:pos="851"/>
        </w:tabs>
        <w:ind w:left="851" w:firstLine="0"/>
      </w:pPr>
      <w:rPr>
        <w:rFonts w:ascii="Times New Roman" w:hAnsi="Times New Roman" w:hint="default"/>
        <w:b w:val="0"/>
        <w:i w:val="0"/>
        <w:sz w:val="22"/>
        <w:szCs w:val="22"/>
      </w:rPr>
    </w:lvl>
    <w:lvl w:ilvl="2">
      <w:start w:val="1"/>
      <w:numFmt w:val="lowerRoman"/>
      <w:lvlText w:val="(%3)"/>
      <w:lvlJc w:val="left"/>
      <w:pPr>
        <w:tabs>
          <w:tab w:val="num" w:pos="2552"/>
        </w:tabs>
        <w:ind w:left="851" w:firstLine="850"/>
      </w:pPr>
      <w:rPr>
        <w:rFonts w:ascii="Times New Roman" w:hAnsi="Times New Roman" w:hint="default"/>
        <w:sz w:val="22"/>
        <w:szCs w:val="22"/>
      </w:rPr>
    </w:lvl>
    <w:lvl w:ilvl="3">
      <w:start w:val="1"/>
      <w:numFmt w:val="bullet"/>
      <w:pStyle w:val="Heading4"/>
      <w:lvlText w:val="▪"/>
      <w:lvlJc w:val="left"/>
      <w:pPr>
        <w:tabs>
          <w:tab w:val="num" w:pos="851"/>
        </w:tabs>
        <w:ind w:left="851" w:hanging="851"/>
      </w:pPr>
      <w:rPr>
        <w:rFonts w:ascii="Arial" w:hAnsi="Arial" w:hint="default"/>
        <w:color w:val="auto"/>
        <w:sz w:val="22"/>
        <w:szCs w:val="22"/>
      </w:rPr>
    </w:lvl>
    <w:lvl w:ilvl="4">
      <w:start w:val="1"/>
      <w:numFmt w:val="decimal"/>
      <w:lvlText w:val="%1.%2.%3.%4.%5"/>
      <w:lvlJc w:val="left"/>
      <w:pPr>
        <w:tabs>
          <w:tab w:val="num" w:pos="851"/>
        </w:tabs>
        <w:ind w:left="851" w:hanging="851"/>
      </w:pPr>
      <w:rPr>
        <w:rFonts w:ascii="Times New Roman" w:hAnsi="Times New Roman" w:hint="default"/>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1">
    <w:nsid w:val="293227BC"/>
    <w:multiLevelType w:val="singleLevel"/>
    <w:tmpl w:val="D2E67E7E"/>
    <w:lvl w:ilvl="0">
      <w:start w:val="1"/>
      <w:numFmt w:val="bullet"/>
      <w:pStyle w:val="LtrBullet"/>
      <w:lvlText w:val=""/>
      <w:lvlJc w:val="left"/>
      <w:pPr>
        <w:tabs>
          <w:tab w:val="num" w:pos="360"/>
        </w:tabs>
        <w:ind w:left="360" w:hanging="360"/>
      </w:pPr>
      <w:rPr>
        <w:rFonts w:ascii="Wingdings" w:hAnsi="Wingdings" w:hint="default"/>
      </w:rPr>
    </w:lvl>
  </w:abstractNum>
  <w:abstractNum w:abstractNumId="3" w15:restartNumberingAfterBreak="1">
    <w:nsid w:val="73AE3A9D"/>
    <w:multiLevelType w:val="hybridMultilevel"/>
    <w:tmpl w:val="9976B802"/>
    <w:lvl w:ilvl="0" w:tplc="A1E8DCBC">
      <w:start w:val="1"/>
      <w:numFmt w:val="bullet"/>
      <w:lvlText w:val=""/>
      <w:lvlJc w:val="left"/>
      <w:pPr>
        <w:ind w:left="720" w:hanging="360"/>
      </w:pPr>
      <w:rPr>
        <w:rFonts w:ascii="Symbol" w:hAnsi="Symbol" w:hint="default"/>
      </w:rPr>
    </w:lvl>
    <w:lvl w:ilvl="1" w:tplc="D396D682">
      <w:start w:val="1"/>
      <w:numFmt w:val="bullet"/>
      <w:lvlText w:val="o"/>
      <w:lvlJc w:val="left"/>
      <w:pPr>
        <w:ind w:left="1440" w:hanging="360"/>
      </w:pPr>
      <w:rPr>
        <w:rFonts w:ascii="Courier New" w:hAnsi="Courier New" w:cs="Courier New" w:hint="default"/>
      </w:rPr>
    </w:lvl>
    <w:lvl w:ilvl="2" w:tplc="E1A04CF2">
      <w:start w:val="1"/>
      <w:numFmt w:val="bullet"/>
      <w:lvlText w:val=""/>
      <w:lvlJc w:val="left"/>
      <w:pPr>
        <w:ind w:left="2160" w:hanging="360"/>
      </w:pPr>
      <w:rPr>
        <w:rFonts w:ascii="Wingdings" w:hAnsi="Wingdings" w:hint="default"/>
      </w:rPr>
    </w:lvl>
    <w:lvl w:ilvl="3" w:tplc="515EFD02">
      <w:start w:val="1"/>
      <w:numFmt w:val="bullet"/>
      <w:lvlText w:val=""/>
      <w:lvlJc w:val="left"/>
      <w:pPr>
        <w:ind w:left="2880" w:hanging="360"/>
      </w:pPr>
      <w:rPr>
        <w:rFonts w:ascii="Symbol" w:hAnsi="Symbol" w:hint="default"/>
      </w:rPr>
    </w:lvl>
    <w:lvl w:ilvl="4" w:tplc="EE667AE2">
      <w:start w:val="1"/>
      <w:numFmt w:val="bullet"/>
      <w:lvlText w:val="o"/>
      <w:lvlJc w:val="left"/>
      <w:pPr>
        <w:ind w:left="3600" w:hanging="360"/>
      </w:pPr>
      <w:rPr>
        <w:rFonts w:ascii="Courier New" w:hAnsi="Courier New" w:cs="Courier New" w:hint="default"/>
      </w:rPr>
    </w:lvl>
    <w:lvl w:ilvl="5" w:tplc="A3326840">
      <w:start w:val="1"/>
      <w:numFmt w:val="bullet"/>
      <w:lvlText w:val=""/>
      <w:lvlJc w:val="left"/>
      <w:pPr>
        <w:ind w:left="4320" w:hanging="360"/>
      </w:pPr>
      <w:rPr>
        <w:rFonts w:ascii="Wingdings" w:hAnsi="Wingdings" w:hint="default"/>
      </w:rPr>
    </w:lvl>
    <w:lvl w:ilvl="6" w:tplc="CB7E3A5C">
      <w:start w:val="1"/>
      <w:numFmt w:val="bullet"/>
      <w:lvlText w:val=""/>
      <w:lvlJc w:val="left"/>
      <w:pPr>
        <w:ind w:left="5040" w:hanging="360"/>
      </w:pPr>
      <w:rPr>
        <w:rFonts w:ascii="Symbol" w:hAnsi="Symbol" w:hint="default"/>
      </w:rPr>
    </w:lvl>
    <w:lvl w:ilvl="7" w:tplc="49523764">
      <w:start w:val="1"/>
      <w:numFmt w:val="bullet"/>
      <w:lvlText w:val="o"/>
      <w:lvlJc w:val="left"/>
      <w:pPr>
        <w:ind w:left="5760" w:hanging="360"/>
      </w:pPr>
      <w:rPr>
        <w:rFonts w:ascii="Courier New" w:hAnsi="Courier New" w:cs="Courier New" w:hint="default"/>
      </w:rPr>
    </w:lvl>
    <w:lvl w:ilvl="8" w:tplc="60B2E92E">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2"/>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0"/>
  <w:drawingGridVerticalSpacing w:val="170"/>
  <w:doNotUseMarginsForDrawingGridOrigin/>
  <w:drawingGridVerticalOrigin w:val="198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8B"/>
    <w:rsid w:val="00035A57"/>
    <w:rsid w:val="000523E1"/>
    <w:rsid w:val="00055249"/>
    <w:rsid w:val="000B4515"/>
    <w:rsid w:val="000C3565"/>
    <w:rsid w:val="000E6050"/>
    <w:rsid w:val="001369E9"/>
    <w:rsid w:val="00180134"/>
    <w:rsid w:val="001E4368"/>
    <w:rsid w:val="001F6D55"/>
    <w:rsid w:val="00207C97"/>
    <w:rsid w:val="00294AF7"/>
    <w:rsid w:val="0031323C"/>
    <w:rsid w:val="0038209F"/>
    <w:rsid w:val="003A0A44"/>
    <w:rsid w:val="003A1F58"/>
    <w:rsid w:val="003B5B0D"/>
    <w:rsid w:val="00427896"/>
    <w:rsid w:val="00494BEF"/>
    <w:rsid w:val="005C4C81"/>
    <w:rsid w:val="005D36AD"/>
    <w:rsid w:val="006332F0"/>
    <w:rsid w:val="00636A39"/>
    <w:rsid w:val="006B5DD1"/>
    <w:rsid w:val="006B7AA1"/>
    <w:rsid w:val="007572D3"/>
    <w:rsid w:val="007F52DF"/>
    <w:rsid w:val="00861D30"/>
    <w:rsid w:val="00896AE6"/>
    <w:rsid w:val="008C006B"/>
    <w:rsid w:val="008E2695"/>
    <w:rsid w:val="008F511C"/>
    <w:rsid w:val="009A5E0A"/>
    <w:rsid w:val="009D7914"/>
    <w:rsid w:val="009F0A66"/>
    <w:rsid w:val="00A67CAA"/>
    <w:rsid w:val="00A81DE7"/>
    <w:rsid w:val="00A85861"/>
    <w:rsid w:val="00AF448B"/>
    <w:rsid w:val="00B3370F"/>
    <w:rsid w:val="00B82562"/>
    <w:rsid w:val="00BA0777"/>
    <w:rsid w:val="00C13938"/>
    <w:rsid w:val="00C27142"/>
    <w:rsid w:val="00CE560B"/>
    <w:rsid w:val="00D1391F"/>
    <w:rsid w:val="00D73494"/>
    <w:rsid w:val="00D75E4B"/>
    <w:rsid w:val="00E246E9"/>
    <w:rsid w:val="00E37FDB"/>
    <w:rsid w:val="00E811F2"/>
    <w:rsid w:val="00EC5DFC"/>
    <w:rsid w:val="00F017AF"/>
    <w:rsid w:val="00FB11BD"/>
    <w:rsid w:val="00FD0546"/>
    <w:rsid w:val="00FF4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F4D95"/>
  <w15:docId w15:val="{B8439E87-6FA9-4379-9173-DB83B070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695"/>
    <w:rPr>
      <w:rFonts w:ascii="Calibri" w:hAnsi="Calibri"/>
      <w:sz w:val="22"/>
      <w:szCs w:val="24"/>
    </w:rPr>
  </w:style>
  <w:style w:type="paragraph" w:styleId="Heading1">
    <w:name w:val="heading 1"/>
    <w:basedOn w:val="Normal"/>
    <w:next w:val="Normal"/>
    <w:qFormat/>
    <w:rsid w:val="008E26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E2695"/>
    <w:pPr>
      <w:keepNext/>
      <w:spacing w:before="240" w:after="60"/>
      <w:outlineLvl w:val="1"/>
    </w:pPr>
    <w:rPr>
      <w:rFonts w:cs="Arial"/>
      <w:b/>
      <w:bCs/>
      <w:i/>
      <w:iCs/>
      <w:sz w:val="28"/>
      <w:szCs w:val="28"/>
    </w:rPr>
  </w:style>
  <w:style w:type="paragraph" w:styleId="Heading3">
    <w:name w:val="heading 3"/>
    <w:basedOn w:val="Normal"/>
    <w:next w:val="Normal"/>
    <w:qFormat/>
    <w:rsid w:val="008E2695"/>
    <w:pPr>
      <w:keepNext/>
      <w:spacing w:before="240" w:after="60"/>
      <w:outlineLvl w:val="2"/>
    </w:pPr>
    <w:rPr>
      <w:rFonts w:cs="Arial"/>
      <w:b/>
      <w:bCs/>
      <w:sz w:val="26"/>
      <w:szCs w:val="26"/>
    </w:rPr>
  </w:style>
  <w:style w:type="paragraph" w:styleId="Heading4">
    <w:name w:val="heading 4"/>
    <w:basedOn w:val="Normal"/>
    <w:qFormat/>
    <w:rsid w:val="00AF448B"/>
    <w:pPr>
      <w:numPr>
        <w:ilvl w:val="3"/>
        <w:numId w:val="5"/>
      </w:numPr>
      <w:tabs>
        <w:tab w:val="clear" w:pos="851"/>
        <w:tab w:val="num" w:pos="2880"/>
        <w:tab w:val="right" w:pos="8392"/>
      </w:tabs>
      <w:spacing w:before="120" w:after="60"/>
      <w:ind w:left="2880" w:right="-49" w:hanging="360"/>
      <w:outlineLvl w:val="3"/>
    </w:pPr>
  </w:style>
  <w:style w:type="paragraph" w:styleId="Heading5">
    <w:name w:val="heading 5"/>
    <w:basedOn w:val="Heading4"/>
    <w:next w:val="Normal"/>
    <w:qFormat/>
    <w:rsid w:val="00AF448B"/>
    <w:pPr>
      <w:numPr>
        <w:ilvl w:val="0"/>
        <w:numId w:val="0"/>
      </w:numPr>
      <w:tabs>
        <w:tab w:val="num" w:pos="2835"/>
      </w:tabs>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695"/>
    <w:pPr>
      <w:tabs>
        <w:tab w:val="center" w:pos="4153"/>
        <w:tab w:val="right" w:pos="8306"/>
      </w:tabs>
    </w:pPr>
  </w:style>
  <w:style w:type="paragraph" w:styleId="Footer">
    <w:name w:val="footer"/>
    <w:basedOn w:val="Normal"/>
    <w:rsid w:val="008E2695"/>
    <w:pPr>
      <w:tabs>
        <w:tab w:val="center" w:pos="4153"/>
        <w:tab w:val="right" w:pos="8306"/>
      </w:tabs>
    </w:pPr>
  </w:style>
  <w:style w:type="paragraph" w:customStyle="1" w:styleId="LtrRef">
    <w:name w:val="LtrRef"/>
    <w:basedOn w:val="Normal"/>
    <w:next w:val="Normal"/>
    <w:rsid w:val="008E2695"/>
    <w:pPr>
      <w:spacing w:after="760"/>
    </w:pPr>
    <w:rPr>
      <w:szCs w:val="22"/>
      <w:lang w:eastAsia="en-US"/>
    </w:rPr>
  </w:style>
  <w:style w:type="paragraph" w:customStyle="1" w:styleId="LtrDate">
    <w:name w:val="LtrDate"/>
    <w:basedOn w:val="Normal"/>
    <w:next w:val="Normal"/>
    <w:rsid w:val="008E2695"/>
    <w:pPr>
      <w:spacing w:after="760"/>
    </w:pPr>
    <w:rPr>
      <w:szCs w:val="22"/>
      <w:lang w:eastAsia="en-US"/>
    </w:rPr>
  </w:style>
  <w:style w:type="paragraph" w:customStyle="1" w:styleId="LtrAddress">
    <w:name w:val="LtrAddress"/>
    <w:basedOn w:val="Normal"/>
    <w:rsid w:val="008E2695"/>
    <w:rPr>
      <w:szCs w:val="22"/>
      <w:lang w:eastAsia="en-US"/>
    </w:rPr>
  </w:style>
  <w:style w:type="paragraph" w:customStyle="1" w:styleId="LtrSalutation">
    <w:name w:val="LtrSalutation"/>
    <w:basedOn w:val="Normal"/>
    <w:rsid w:val="008E2695"/>
    <w:pPr>
      <w:spacing w:before="760" w:after="240"/>
    </w:pPr>
    <w:rPr>
      <w:szCs w:val="22"/>
      <w:lang w:val="en-US" w:eastAsia="en-US"/>
    </w:rPr>
  </w:style>
  <w:style w:type="paragraph" w:customStyle="1" w:styleId="LtrSubject">
    <w:name w:val="LtrSubject"/>
    <w:basedOn w:val="Normal"/>
    <w:rsid w:val="008E2695"/>
    <w:pPr>
      <w:jc w:val="center"/>
    </w:pPr>
    <w:rPr>
      <w:szCs w:val="22"/>
      <w:lang w:eastAsia="en-US"/>
    </w:rPr>
  </w:style>
  <w:style w:type="paragraph" w:customStyle="1" w:styleId="LtrSubjectBold">
    <w:name w:val="LtrSubjectBold"/>
    <w:basedOn w:val="LtrSubject"/>
    <w:qFormat/>
    <w:rsid w:val="008E2695"/>
    <w:pPr>
      <w:spacing w:after="120"/>
    </w:pPr>
    <w:rPr>
      <w:b/>
      <w:lang w:val="en-US"/>
    </w:rPr>
  </w:style>
  <w:style w:type="paragraph" w:styleId="BalloonText">
    <w:name w:val="Balloon Text"/>
    <w:basedOn w:val="Normal"/>
    <w:semiHidden/>
    <w:rsid w:val="00AF448B"/>
    <w:rPr>
      <w:rFonts w:ascii="Tahoma" w:hAnsi="Tahoma" w:cs="Tahoma"/>
      <w:sz w:val="16"/>
      <w:szCs w:val="16"/>
    </w:rPr>
  </w:style>
  <w:style w:type="character" w:styleId="Hyperlink">
    <w:name w:val="Hyperlink"/>
    <w:basedOn w:val="DefaultParagraphFont"/>
    <w:rsid w:val="00AF448B"/>
    <w:rPr>
      <w:rFonts w:ascii="Arial" w:hAnsi="Arial"/>
      <w:color w:val="0000FF"/>
      <w:u w:val="single"/>
    </w:rPr>
  </w:style>
  <w:style w:type="paragraph" w:customStyle="1" w:styleId="LtrBullet">
    <w:name w:val="LtrBullet"/>
    <w:basedOn w:val="Normal"/>
    <w:qFormat/>
    <w:rsid w:val="008E2695"/>
    <w:pPr>
      <w:numPr>
        <w:numId w:val="7"/>
      </w:numPr>
      <w:spacing w:after="60"/>
      <w:jc w:val="both"/>
    </w:pPr>
    <w:rPr>
      <w:szCs w:val="20"/>
      <w:lang w:val="en-US" w:eastAsia="en-US"/>
    </w:rPr>
  </w:style>
  <w:style w:type="paragraph" w:customStyle="1" w:styleId="LtrFirmName">
    <w:name w:val="LtrFirmName"/>
    <w:basedOn w:val="Normal"/>
    <w:next w:val="Normal"/>
    <w:rsid w:val="008E2695"/>
    <w:pPr>
      <w:spacing w:after="760"/>
    </w:pPr>
    <w:rPr>
      <w:szCs w:val="22"/>
      <w:lang w:val="en-US" w:eastAsia="en-US"/>
    </w:rPr>
  </w:style>
  <w:style w:type="paragraph" w:customStyle="1" w:styleId="SubjectHeading">
    <w:name w:val="Subject Heading"/>
    <w:next w:val="Normal"/>
    <w:rsid w:val="00AF448B"/>
    <w:pPr>
      <w:jc w:val="center"/>
    </w:pPr>
    <w:rPr>
      <w:b/>
      <w:sz w:val="22"/>
      <w:szCs w:val="22"/>
      <w:lang w:eastAsia="en-US"/>
    </w:rPr>
  </w:style>
  <w:style w:type="paragraph" w:customStyle="1" w:styleId="LtrFormHeader">
    <w:name w:val="LtrFormHeader"/>
    <w:basedOn w:val="Normal"/>
    <w:next w:val="Normal"/>
    <w:rsid w:val="008E2695"/>
    <w:pPr>
      <w:pageBreakBefore/>
      <w:shd w:val="clear" w:color="auto" w:fill="000000"/>
      <w:spacing w:after="240"/>
      <w:jc w:val="center"/>
    </w:pPr>
    <w:rPr>
      <w:rFonts w:ascii="Times New Roman" w:hAnsi="Times New Roman"/>
      <w:b/>
      <w:szCs w:val="22"/>
      <w:lang w:val="en-US" w:eastAsia="en-US"/>
    </w:rPr>
  </w:style>
  <w:style w:type="paragraph" w:customStyle="1" w:styleId="LtrFormTbl">
    <w:name w:val="LtrFormTbl"/>
    <w:basedOn w:val="Normal"/>
    <w:rsid w:val="008E2695"/>
    <w:pPr>
      <w:ind w:right="170"/>
    </w:pPr>
    <w:rPr>
      <w:szCs w:val="22"/>
      <w:lang w:val="en-US" w:eastAsia="en-US"/>
    </w:rPr>
  </w:style>
  <w:style w:type="paragraph" w:customStyle="1" w:styleId="LtrPara">
    <w:name w:val="LtrPara"/>
    <w:basedOn w:val="Normal"/>
    <w:qFormat/>
    <w:rsid w:val="008E2695"/>
    <w:pPr>
      <w:spacing w:before="120" w:after="120"/>
      <w:jc w:val="both"/>
    </w:pPr>
    <w:rPr>
      <w:szCs w:val="22"/>
      <w:lang w:eastAsia="en-US"/>
    </w:rPr>
  </w:style>
  <w:style w:type="character" w:customStyle="1" w:styleId="LtrParaChar">
    <w:name w:val="LtrPara Char"/>
    <w:rsid w:val="008E2695"/>
    <w:rPr>
      <w:sz w:val="22"/>
      <w:szCs w:val="22"/>
      <w:lang w:val="en-AU" w:eastAsia="en-US" w:bidi="ar-SA"/>
    </w:rPr>
  </w:style>
  <w:style w:type="paragraph" w:customStyle="1" w:styleId="LtrParaHeading">
    <w:name w:val="LtrParaHeading"/>
    <w:basedOn w:val="LtrPara"/>
    <w:qFormat/>
    <w:rsid w:val="008E2695"/>
    <w:pPr>
      <w:keepNext/>
    </w:pPr>
    <w:rPr>
      <w:b/>
    </w:rPr>
  </w:style>
  <w:style w:type="paragraph" w:customStyle="1" w:styleId="LtrParaNote">
    <w:name w:val="LtrParaNote"/>
    <w:rsid w:val="008E2695"/>
    <w:pPr>
      <w:spacing w:before="120" w:after="120"/>
    </w:pPr>
    <w:rPr>
      <w:i/>
      <w:sz w:val="22"/>
      <w:szCs w:val="22"/>
      <w:lang w:eastAsia="en-US"/>
    </w:rPr>
  </w:style>
  <w:style w:type="paragraph" w:customStyle="1" w:styleId="LtrSectionHeader">
    <w:name w:val="LtrSectionHeader"/>
    <w:basedOn w:val="LtrFormHeader"/>
    <w:rsid w:val="008E2695"/>
    <w:pPr>
      <w:keepNext/>
      <w:pageBreakBefore w:val="0"/>
      <w:pBdr>
        <w:top w:val="single" w:sz="18" w:space="1" w:color="C0C0C0"/>
        <w:bottom w:val="single" w:sz="18" w:space="1" w:color="C0C0C0"/>
      </w:pBdr>
      <w:shd w:val="clear" w:color="auto" w:fill="C0C0C0"/>
      <w:spacing w:before="240"/>
      <w:jc w:val="left"/>
    </w:pPr>
  </w:style>
  <w:style w:type="paragraph" w:customStyle="1" w:styleId="LtrSignatoryName">
    <w:name w:val="LtrSignatoryName"/>
    <w:basedOn w:val="Normal"/>
    <w:next w:val="Normal"/>
    <w:rsid w:val="008E2695"/>
    <w:rPr>
      <w:szCs w:val="22"/>
      <w:lang w:val="en-US" w:eastAsia="en-US"/>
    </w:rPr>
  </w:style>
  <w:style w:type="paragraph" w:customStyle="1" w:styleId="LtrSignatoryPosition">
    <w:name w:val="LtrSignatoryPosition"/>
    <w:basedOn w:val="Normal"/>
    <w:next w:val="Normal"/>
    <w:rsid w:val="008E2695"/>
    <w:pPr>
      <w:spacing w:after="360"/>
    </w:pPr>
    <w:rPr>
      <w:b/>
      <w:szCs w:val="22"/>
      <w:lang w:eastAsia="en-US"/>
    </w:rPr>
  </w:style>
  <w:style w:type="paragraph" w:customStyle="1" w:styleId="LtrSignOff">
    <w:name w:val="LtrSignOff"/>
    <w:basedOn w:val="Normal"/>
    <w:next w:val="Normal"/>
    <w:rsid w:val="008E2695"/>
    <w:pPr>
      <w:spacing w:before="240"/>
    </w:pPr>
    <w:rPr>
      <w:szCs w:val="22"/>
      <w:lang w:val="en-US" w:eastAsia="en-US"/>
    </w:rPr>
  </w:style>
  <w:style w:type="character" w:customStyle="1" w:styleId="Red9">
    <w:name w:val="Red9"/>
    <w:basedOn w:val="DefaultParagraphFont"/>
    <w:rsid w:val="00AF448B"/>
    <w:rPr>
      <w:color w:val="FF0000"/>
    </w:rPr>
  </w:style>
  <w:style w:type="paragraph" w:customStyle="1" w:styleId="TableHeading">
    <w:name w:val="Table Heading"/>
    <w:rsid w:val="00AF448B"/>
    <w:pPr>
      <w:keepNext/>
      <w:spacing w:before="40" w:after="40"/>
    </w:pPr>
    <w:rPr>
      <w:b/>
      <w:lang w:eastAsia="en-US"/>
    </w:rPr>
  </w:style>
  <w:style w:type="paragraph" w:customStyle="1" w:styleId="TableEntry">
    <w:name w:val="Table Entry"/>
    <w:basedOn w:val="TableHeading"/>
    <w:rsid w:val="00AF448B"/>
    <w:pPr>
      <w:keepNext w:val="0"/>
    </w:pPr>
    <w:rPr>
      <w:b w:val="0"/>
    </w:rPr>
  </w:style>
  <w:style w:type="paragraph" w:customStyle="1" w:styleId="TitleNote">
    <w:name w:val="Title Note"/>
    <w:basedOn w:val="Normal"/>
    <w:rsid w:val="00AF448B"/>
    <w:pPr>
      <w:spacing w:before="120" w:after="240"/>
    </w:pPr>
    <w:rPr>
      <w:i/>
      <w:sz w:val="18"/>
    </w:rPr>
  </w:style>
  <w:style w:type="character" w:customStyle="1" w:styleId="Red11CharChar">
    <w:name w:val="Red11 Char Char"/>
    <w:basedOn w:val="DefaultParagraphFont"/>
    <w:rsid w:val="00AF448B"/>
    <w:rPr>
      <w:color w:val="FF0000"/>
      <w:sz w:val="22"/>
      <w:szCs w:val="22"/>
      <w:lang w:val="en-AU" w:eastAsia="en-US" w:bidi="ar-SA"/>
    </w:rPr>
  </w:style>
  <w:style w:type="paragraph" w:customStyle="1" w:styleId="LtrEnclosed">
    <w:name w:val="LtrEnclosed"/>
    <w:basedOn w:val="LtrPara"/>
    <w:rsid w:val="008E2695"/>
    <w:pPr>
      <w:spacing w:before="0" w:after="0"/>
      <w:jc w:val="left"/>
    </w:pPr>
  </w:style>
  <w:style w:type="paragraph" w:customStyle="1" w:styleId="LtrTableEntry">
    <w:name w:val="LtrTableEntry"/>
    <w:basedOn w:val="Normal"/>
    <w:qFormat/>
    <w:rsid w:val="008E2695"/>
    <w:pPr>
      <w:spacing w:before="40" w:after="40"/>
    </w:pPr>
    <w:rPr>
      <w:lang w:eastAsia="en-US"/>
    </w:rPr>
  </w:style>
  <w:style w:type="paragraph" w:customStyle="1" w:styleId="LtrTableHeading">
    <w:name w:val="LtrTableHeading"/>
    <w:basedOn w:val="Normal"/>
    <w:qFormat/>
    <w:rsid w:val="008E2695"/>
    <w:pPr>
      <w:keepNext/>
      <w:spacing w:before="40" w:after="40"/>
      <w:jc w:val="center"/>
    </w:pPr>
    <w:rPr>
      <w:b/>
      <w:lang w:eastAsia="en-US"/>
    </w:rPr>
  </w:style>
  <w:style w:type="paragraph" w:customStyle="1" w:styleId="LtrTblBody">
    <w:name w:val="LtrTblBody"/>
    <w:basedOn w:val="LtrPara"/>
    <w:rsid w:val="008E2695"/>
  </w:style>
  <w:style w:type="character" w:styleId="PageNumber">
    <w:name w:val="page number"/>
    <w:basedOn w:val="DefaultParagraphFont"/>
    <w:rsid w:val="008E2695"/>
  </w:style>
  <w:style w:type="paragraph" w:styleId="ListParagraph">
    <w:name w:val="List Paragraph"/>
    <w:basedOn w:val="Normal"/>
    <w:uiPriority w:val="34"/>
    <w:qFormat/>
    <w:rsid w:val="001E4368"/>
    <w:pPr>
      <w:ind w:left="720"/>
    </w:pPr>
    <w:rPr>
      <w:rFonts w:eastAsiaTheme="minorHAnsi" w:cs="Calibri"/>
      <w:szCs w:val="22"/>
      <w:lang w:eastAsia="en-US"/>
    </w:rPr>
  </w:style>
  <w:style w:type="table" w:styleId="TableGrid">
    <w:name w:val="Table Grid"/>
    <w:basedOn w:val="TableNormal"/>
    <w:uiPriority w:val="59"/>
    <w:rsid w:val="001E43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684</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Running Balance Accouunt Merge 2 Letter</vt:lpstr>
    </vt:vector>
  </TitlesOfParts>
  <Manager>Copyright© 2006 Business Fitness Pty Ltd</Manager>
  <Company>Business Fitness Pty Ltd</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Balance Accouunt Merge 2 Letter</dc:title>
  <dc:subject>v1.0</dc:subject>
  <dc:creator>Business Fitness Pty Ltd</dc:creator>
  <cp:keywords>general interest charges GIC</cp:keywords>
  <dc:description>HowNow® Merge 2 Covering letter to client for Running Balance Account (RBA) Statement regarding interest charged by the ATO on late payment of PAYG withholding tax.</dc:description>
  <cp:lastModifiedBy>Ruturaj Vyas</cp:lastModifiedBy>
  <cp:revision>10</cp:revision>
  <dcterms:created xsi:type="dcterms:W3CDTF">2021-01-20T05:07:00Z</dcterms:created>
  <dcterms:modified xsi:type="dcterms:W3CDTF">2021-05-07T02:42:00Z</dcterms:modified>
  <cp:category>Production\Letters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ed to Content">
    <vt:lpwstr>Content Release 1</vt:lpwstr>
  </property>
  <property fmtid="{D5CDD505-2E9C-101B-9397-08002B2CF9AE}" pid="3" name="Author">
    <vt:lpwstr>T.Zirbel</vt:lpwstr>
  </property>
  <property fmtid="{D5CDD505-2E9C-101B-9397-08002B2CF9AE}" pid="4" name="Content Module">
    <vt:lpwstr>HNA M2</vt:lpwstr>
  </property>
  <property fmtid="{D5CDD505-2E9C-101B-9397-08002B2CF9AE}" pid="5" name="Copyright">
    <vt:lpwstr>Copyright© 2006 Business Fitness Pty Ltd</vt:lpwstr>
  </property>
  <property fmtid="{D5CDD505-2E9C-101B-9397-08002B2CF9AE}" pid="6" name="Last Updated">
    <vt:lpwstr>Content Update 1</vt:lpwstr>
  </property>
  <property fmtid="{D5CDD505-2E9C-101B-9397-08002B2CF9AE}" pid="7" name="Last Updated Date">
    <vt:filetime>2006-04-27T14:00:00Z</vt:filetime>
  </property>
  <property fmtid="{D5CDD505-2E9C-101B-9397-08002B2CF9AE}" pid="8" name="QA Sign off - bf">
    <vt:lpwstr>Y.Walsh</vt:lpwstr>
  </property>
  <property fmtid="{D5CDD505-2E9C-101B-9397-08002B2CF9AE}" pid="9" name="Reviewer">
    <vt:lpwstr>Y.Walsh</vt:lpwstr>
  </property>
</Properties>
</file>