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141938" w:rsidR="00BC1657" w:rsidP="00BC1657" w:rsidRDefault="00180B90" w14:paraId="68660AA4" w14:textId="2612FCE9">
      <w:pPr>
        <w:spacing w:after="0" w:line="240" w:lineRule="auto"/>
        <w:jc w:val="center"/>
        <w:rPr>
          <w:rFonts w:cstheme="minorHAnsi"/>
          <w:b/>
          <w:sz w:val="28"/>
          <w:szCs w:val="28"/>
        </w:rPr>
      </w:pPr>
      <w:r w:rsidRPr="00141938">
        <w:rPr>
          <w:rFonts w:cstheme="minorHAnsi"/>
          <w:b/>
          <w:sz w:val="28"/>
          <w:szCs w:val="28"/>
        </w:rPr>
        <w:t>Memorandum of Resolutions of the Trustees for</w:t>
      </w:r>
    </w:p>
    <w:p w:rsidRPr="00141938" w:rsidR="00BC1657" w:rsidP="00141938" w:rsidRDefault="00092EA8" w14:paraId="4A23E4E1" w14:textId="10BBD1F1">
      <w:pPr>
        <w:spacing w:after="0" w:line="240" w:lineRule="auto"/>
        <w:jc w:val="center"/>
        <w:rPr>
          <w:rFonts w:cstheme="minorHAnsi"/>
          <w:sz w:val="28"/>
          <w:szCs w:val="28"/>
        </w:rPr>
      </w:pPr>
      <w:r>
        <w:rPr>
          <w:rFonts w:cstheme="minorHAnsi"/>
          <w:b/>
          <w:sz w:val="28"/>
          <w:szCs w:val="28"/>
        </w:rPr>
        <w:t>Two Little Indians</w:t>
      </w:r>
      <w:r w:rsidRPr="00141938" w:rsidR="001E739E">
        <w:rPr>
          <w:rFonts w:cstheme="minorHAnsi"/>
          <w:b/>
          <w:sz w:val="28"/>
          <w:szCs w:val="28"/>
        </w:rPr>
        <w:t xml:space="preserve"> Super</w:t>
      </w:r>
      <w:r w:rsidRPr="00141938" w:rsidR="00141938">
        <w:rPr>
          <w:rFonts w:cstheme="minorHAnsi"/>
          <w:b/>
          <w:sz w:val="28"/>
          <w:szCs w:val="28"/>
        </w:rPr>
        <w:t>annuation</w:t>
      </w:r>
      <w:r w:rsidRPr="00141938" w:rsidR="001E739E">
        <w:rPr>
          <w:rFonts w:cstheme="minorHAnsi"/>
          <w:b/>
          <w:sz w:val="28"/>
          <w:szCs w:val="28"/>
        </w:rPr>
        <w:t xml:space="preserve"> Fund</w:t>
      </w:r>
    </w:p>
    <w:p w:rsidRPr="001E6469" w:rsidR="00BC1657" w:rsidP="00BC1657" w:rsidRDefault="00BC1657" w14:paraId="5E105D8F" w14:textId="77777777">
      <w:pPr>
        <w:spacing w:after="0" w:line="240" w:lineRule="auto"/>
        <w:rPr>
          <w:rFonts w:cstheme="minorHAnsi"/>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972"/>
        <w:gridCol w:w="6044"/>
      </w:tblGrid>
      <w:tr w:rsidRPr="001E6469" w:rsidR="00BC1657" w:rsidTr="36D99E24" w14:paraId="722CE32B" w14:textId="77777777">
        <w:tc>
          <w:tcPr>
            <w:tcW w:w="2972" w:type="dxa"/>
            <w:tcMar/>
          </w:tcPr>
          <w:p w:rsidRPr="001E6469" w:rsidR="00BC1657" w:rsidP="00BC1657" w:rsidRDefault="00BC1657" w14:paraId="34E21E47" w14:textId="77777777">
            <w:pPr>
              <w:rPr>
                <w:rFonts w:cstheme="minorHAnsi"/>
                <w:b/>
              </w:rPr>
            </w:pPr>
            <w:r w:rsidRPr="001E6469">
              <w:rPr>
                <w:rFonts w:cstheme="minorHAnsi"/>
                <w:b/>
              </w:rPr>
              <w:t>Present:</w:t>
            </w:r>
          </w:p>
        </w:tc>
        <w:tc>
          <w:tcPr>
            <w:tcW w:w="6044" w:type="dxa"/>
            <w:tcMar/>
          </w:tcPr>
          <w:p w:rsidR="00BC1657" w:rsidP="00BC1657" w:rsidRDefault="00092EA8" w14:paraId="43F151CB" w14:textId="4E99D98F">
            <w:pPr>
              <w:rPr>
                <w:rFonts w:cstheme="minorHAnsi"/>
              </w:rPr>
            </w:pPr>
            <w:r>
              <w:rPr>
                <w:rFonts w:cstheme="minorHAnsi"/>
              </w:rPr>
              <w:t>James Greville</w:t>
            </w:r>
          </w:p>
          <w:p w:rsidRPr="001E6469" w:rsidR="00BC1657" w:rsidP="00BC1657" w:rsidRDefault="00092EA8" w14:paraId="1BDBC40C" w14:textId="7759351C">
            <w:pPr>
              <w:rPr>
                <w:rFonts w:cstheme="minorHAnsi"/>
              </w:rPr>
            </w:pPr>
            <w:r>
              <w:rPr>
                <w:rFonts w:cstheme="minorHAnsi"/>
              </w:rPr>
              <w:t>Victoria Garret</w:t>
            </w:r>
          </w:p>
          <w:p w:rsidRPr="001E6469" w:rsidR="00BC1657" w:rsidP="00BC1657" w:rsidRDefault="00BC1657" w14:paraId="58FCB808" w14:textId="77777777">
            <w:pPr>
              <w:rPr>
                <w:rFonts w:cstheme="minorHAnsi"/>
              </w:rPr>
            </w:pPr>
          </w:p>
        </w:tc>
      </w:tr>
      <w:tr w:rsidRPr="001E6469" w:rsidR="00BC1657" w:rsidTr="36D99E24" w14:paraId="5A5854E0" w14:textId="77777777">
        <w:tc>
          <w:tcPr>
            <w:tcW w:w="2972" w:type="dxa"/>
            <w:tcMar/>
          </w:tcPr>
          <w:p w:rsidRPr="001E6469" w:rsidR="00BC1657" w:rsidP="00BC1657" w:rsidRDefault="006023C5" w14:paraId="3F13E7C6" w14:textId="7E96DF5E">
            <w:pPr>
              <w:rPr>
                <w:rFonts w:cstheme="minorHAnsi"/>
                <w:b/>
              </w:rPr>
            </w:pPr>
            <w:r w:rsidRPr="001E6469">
              <w:rPr>
                <w:rFonts w:cstheme="minorHAnsi"/>
                <w:b/>
              </w:rPr>
              <w:t>Request for rent relief from property tenant:</w:t>
            </w:r>
          </w:p>
        </w:tc>
        <w:tc>
          <w:tcPr>
            <w:tcW w:w="6044" w:type="dxa"/>
            <w:tcMar/>
          </w:tcPr>
          <w:p w:rsidRPr="001E6469" w:rsidR="00BC1657" w:rsidP="36D99E24" w:rsidRDefault="006023C5" w14:paraId="7EB96EC5" w14:textId="2DA75A52">
            <w:pPr>
              <w:rPr>
                <w:rFonts w:cs="Calibri" w:cstheme="minorAscii"/>
              </w:rPr>
            </w:pPr>
            <w:r w:rsidRPr="36D99E24" w:rsidR="006023C5">
              <w:rPr>
                <w:rFonts w:cs="Calibri" w:cstheme="minorAscii"/>
              </w:rPr>
              <w:t xml:space="preserve">The Trustees have received notification from </w:t>
            </w:r>
            <w:r w:rsidRPr="36D99E24" w:rsidR="00092EA8">
              <w:rPr>
                <w:rFonts w:cs="Calibri" w:cstheme="minorAscii"/>
              </w:rPr>
              <w:t>Two Little Indians Pty Ltd</w:t>
            </w:r>
            <w:r w:rsidRPr="36D99E24" w:rsidR="006023C5">
              <w:rPr>
                <w:rFonts w:cs="Calibri" w:cstheme="minorAscii"/>
              </w:rPr>
              <w:t xml:space="preserve">, the tenant of the Fund’s commercial property situated at </w:t>
            </w:r>
            <w:r w:rsidRPr="36D99E24" w:rsidR="00092EA8">
              <w:rPr>
                <w:rFonts w:cs="Calibri" w:cstheme="minorAscii"/>
              </w:rPr>
              <w:t>610 Stanley Street, Woolloongabba</w:t>
            </w:r>
            <w:r w:rsidRPr="36D99E24" w:rsidR="006023C5">
              <w:rPr>
                <w:rFonts w:cs="Calibri" w:cstheme="minorAscii"/>
              </w:rPr>
              <w:t xml:space="preserve">, advising that they have continued to be impacted by the COVID-19 pandemic and are requesting an extension to the </w:t>
            </w:r>
            <w:r w:rsidRPr="36D99E24" w:rsidR="00C14597">
              <w:rPr>
                <w:rFonts w:cs="Calibri" w:cstheme="minorAscii"/>
              </w:rPr>
              <w:t xml:space="preserve">temporary </w:t>
            </w:r>
            <w:r w:rsidRPr="36D99E24" w:rsidR="006023C5">
              <w:rPr>
                <w:rFonts w:cs="Calibri" w:cstheme="minorAscii"/>
              </w:rPr>
              <w:t>rent relief until 30 June 2021.</w:t>
            </w:r>
          </w:p>
          <w:p w:rsidRPr="001E6469" w:rsidR="006023C5" w:rsidP="00BC1657" w:rsidRDefault="006023C5" w14:paraId="4024AEF2" w14:textId="6850CC45">
            <w:pPr>
              <w:rPr>
                <w:rFonts w:cstheme="minorHAnsi"/>
              </w:rPr>
            </w:pPr>
          </w:p>
        </w:tc>
      </w:tr>
      <w:tr w:rsidRPr="001E6469" w:rsidR="00025D67" w:rsidTr="36D99E24" w14:paraId="0EFEB6A5" w14:textId="77777777">
        <w:tc>
          <w:tcPr>
            <w:tcW w:w="2972" w:type="dxa"/>
            <w:tcMar/>
          </w:tcPr>
          <w:p w:rsidRPr="001E6469" w:rsidR="00025D67" w:rsidP="00BC1657" w:rsidRDefault="00025D67" w14:paraId="5BC2071F" w14:textId="555BF187">
            <w:pPr>
              <w:rPr>
                <w:rFonts w:cstheme="minorHAnsi"/>
                <w:b/>
              </w:rPr>
            </w:pPr>
            <w:r w:rsidRPr="001E6469">
              <w:rPr>
                <w:rFonts w:cstheme="minorHAnsi"/>
                <w:b/>
              </w:rPr>
              <w:t>Details of the tenant’s circumstances:</w:t>
            </w:r>
          </w:p>
        </w:tc>
        <w:tc>
          <w:tcPr>
            <w:tcW w:w="6044" w:type="dxa"/>
            <w:tcMar/>
          </w:tcPr>
          <w:p w:rsidRPr="001E6469" w:rsidR="00025D67" w:rsidP="36D99E24" w:rsidRDefault="00092EA8" w14:paraId="2A5E4160" w14:textId="2720CC11">
            <w:pPr>
              <w:rPr>
                <w:rFonts w:cs="Calibri" w:cstheme="minorAscii"/>
              </w:rPr>
            </w:pPr>
            <w:r w:rsidRPr="36D99E24" w:rsidR="00025D67">
              <w:rPr>
                <w:rFonts w:cs="Calibri" w:cstheme="minorAscii"/>
              </w:rPr>
              <w:t xml:space="preserve">The tenant has advised the Trustees that they are still facing a downturn in business as a direct result of the COVID-19 pandemic.  </w:t>
            </w:r>
          </w:p>
          <w:p w:rsidRPr="001E6469" w:rsidR="00025D67" w:rsidP="00BC1657" w:rsidRDefault="00025D67" w14:paraId="54C8779F" w14:textId="6DEA33CE">
            <w:pPr>
              <w:rPr>
                <w:rFonts w:cstheme="minorHAnsi"/>
              </w:rPr>
            </w:pPr>
          </w:p>
          <w:p w:rsidRPr="001E6469" w:rsidR="00167436" w:rsidP="36D99E24" w:rsidRDefault="00167436" w14:paraId="4A559D27" w14:textId="685B7B90">
            <w:pPr>
              <w:rPr>
                <w:rFonts w:cs="Calibri" w:cstheme="minorAscii"/>
              </w:rPr>
            </w:pPr>
            <w:r w:rsidRPr="36D99E24" w:rsidR="00092EA8">
              <w:rPr>
                <w:rFonts w:cs="Calibri" w:cstheme="minorAscii"/>
              </w:rPr>
              <w:t>Two Little Indians Pty Ltd</w:t>
            </w:r>
            <w:r w:rsidRPr="36D99E24" w:rsidR="00092EA8">
              <w:rPr>
                <w:rFonts w:cs="Calibri" w:cstheme="minorAscii"/>
              </w:rPr>
              <w:t xml:space="preserve"> </w:t>
            </w:r>
            <w:r w:rsidRPr="36D99E24" w:rsidR="00167436">
              <w:rPr>
                <w:rFonts w:cs="Calibri" w:cstheme="minorAscii"/>
              </w:rPr>
              <w:t xml:space="preserve">anticipates that their turnover will be reduced by 25% </w:t>
            </w:r>
            <w:r w:rsidRPr="36D99E24" w:rsidR="00167436">
              <w:rPr>
                <w:rFonts w:cs="Calibri" w:cstheme="minorAscii"/>
              </w:rPr>
              <w:t xml:space="preserve">in the 2021FY </w:t>
            </w:r>
            <w:r w:rsidRPr="36D99E24" w:rsidR="00167436">
              <w:rPr>
                <w:rFonts w:cs="Calibri" w:cstheme="minorAscii"/>
              </w:rPr>
              <w:t>and are seeking rent relief</w:t>
            </w:r>
            <w:r w:rsidRPr="36D99E24" w:rsidR="00A51989">
              <w:rPr>
                <w:rFonts w:cs="Calibri" w:cstheme="minorAscii"/>
              </w:rPr>
              <w:t xml:space="preserve"> </w:t>
            </w:r>
            <w:r w:rsidRPr="36D99E24" w:rsidR="008F2309">
              <w:rPr>
                <w:rFonts w:cs="Calibri" w:cstheme="minorAscii"/>
              </w:rPr>
              <w:t xml:space="preserve">until 30 </w:t>
            </w:r>
            <w:r w:rsidRPr="36D99E24" w:rsidR="00092EA8">
              <w:rPr>
                <w:rFonts w:cs="Calibri" w:cstheme="minorAscii"/>
              </w:rPr>
              <w:t xml:space="preserve">June </w:t>
            </w:r>
            <w:r w:rsidRPr="36D99E24" w:rsidR="008F2309">
              <w:rPr>
                <w:rFonts w:cs="Calibri" w:cstheme="minorAscii"/>
              </w:rPr>
              <w:t>2021</w:t>
            </w:r>
            <w:r w:rsidRPr="36D99E24" w:rsidR="00167436">
              <w:rPr>
                <w:rFonts w:cs="Calibri" w:cstheme="minorAscii"/>
              </w:rPr>
              <w:t>.</w:t>
            </w:r>
          </w:p>
          <w:p w:rsidRPr="001E6469" w:rsidR="00167436" w:rsidP="00BC1657" w:rsidRDefault="00167436" w14:paraId="4585B2B3" w14:textId="35254FAD">
            <w:pPr>
              <w:rPr>
                <w:rFonts w:cstheme="minorHAnsi"/>
              </w:rPr>
            </w:pPr>
          </w:p>
          <w:p w:rsidRPr="001E6469" w:rsidR="001245E4" w:rsidP="00BC1657" w:rsidRDefault="00092EA8" w14:paraId="1F93CE88" w14:textId="716FB988">
            <w:pPr>
              <w:rPr>
                <w:rFonts w:cstheme="minorHAnsi"/>
              </w:rPr>
            </w:pPr>
            <w:r>
              <w:rPr>
                <w:rFonts w:cstheme="minorHAnsi"/>
              </w:rPr>
              <w:t>Two Little Indians Pty Ltd</w:t>
            </w:r>
            <w:r w:rsidRPr="008F2309">
              <w:rPr>
                <w:rFonts w:cstheme="minorHAnsi"/>
              </w:rPr>
              <w:t xml:space="preserve"> </w:t>
            </w:r>
            <w:r w:rsidRPr="008F2309" w:rsidR="001245E4">
              <w:rPr>
                <w:rFonts w:cstheme="minorHAnsi"/>
              </w:rPr>
              <w:t>is eligible for and has registered for the JobKeeper Payment</w:t>
            </w:r>
            <w:r w:rsidR="008F2309">
              <w:rPr>
                <w:rFonts w:cstheme="minorHAnsi"/>
              </w:rPr>
              <w:t xml:space="preserve"> with the ATO</w:t>
            </w:r>
            <w:r w:rsidRPr="008F2309" w:rsidR="001245E4">
              <w:rPr>
                <w:rFonts w:cstheme="minorHAnsi"/>
              </w:rPr>
              <w:t>.</w:t>
            </w:r>
          </w:p>
          <w:p w:rsidR="00025D67" w:rsidP="00BC1657" w:rsidRDefault="00025D67" w14:paraId="5A16C5BD" w14:textId="77777777">
            <w:pPr>
              <w:rPr>
                <w:rFonts w:cstheme="minorHAnsi"/>
              </w:rPr>
            </w:pPr>
          </w:p>
          <w:p w:rsidR="00837889" w:rsidP="36D99E24" w:rsidRDefault="00092EA8" w14:paraId="375F4AB2" w14:textId="78F7616A">
            <w:pPr>
              <w:rPr>
                <w:rFonts w:cs="Calibri" w:cstheme="minorAscii"/>
              </w:rPr>
            </w:pPr>
            <w:r w:rsidRPr="36D99E24" w:rsidR="00092EA8">
              <w:rPr>
                <w:rFonts w:cs="Calibri" w:cstheme="minorAscii"/>
              </w:rPr>
              <w:t>Two Little Indians Pty Ltd</w:t>
            </w:r>
            <w:r w:rsidRPr="36D99E24" w:rsidR="00837889">
              <w:rPr>
                <w:rFonts w:cs="Calibri" w:cstheme="minorAscii"/>
              </w:rPr>
              <w:t xml:space="preserve"> believes that their business should begin to recover </w:t>
            </w:r>
            <w:r w:rsidRPr="36D99E24" w:rsidR="00837889">
              <w:rPr>
                <w:rFonts w:cs="Calibri" w:cstheme="minorAscii"/>
              </w:rPr>
              <w:t>in the 2022FY</w:t>
            </w:r>
            <w:r w:rsidRPr="36D99E24" w:rsidR="00837889">
              <w:rPr>
                <w:rFonts w:cs="Calibri" w:cstheme="minorAscii"/>
              </w:rPr>
              <w:t>.</w:t>
            </w:r>
          </w:p>
          <w:p w:rsidRPr="001E6469" w:rsidR="00837889" w:rsidP="00BC1657" w:rsidRDefault="00837889" w14:paraId="3D9818DD" w14:textId="36ACCAFD">
            <w:pPr>
              <w:rPr>
                <w:rFonts w:cstheme="minorHAnsi"/>
              </w:rPr>
            </w:pPr>
          </w:p>
        </w:tc>
      </w:tr>
      <w:tr w:rsidRPr="001E6469" w:rsidR="00BC1657" w:rsidTr="36D99E24" w14:paraId="47FC4869" w14:textId="77777777">
        <w:tc>
          <w:tcPr>
            <w:tcW w:w="2972" w:type="dxa"/>
            <w:tcMar/>
          </w:tcPr>
          <w:p w:rsidRPr="001E6469" w:rsidR="00BC1657" w:rsidP="00BC1657" w:rsidRDefault="006023C5" w14:paraId="09BD02D9" w14:textId="65E6F4F8">
            <w:pPr>
              <w:rPr>
                <w:rFonts w:cstheme="minorHAnsi"/>
                <w:b/>
              </w:rPr>
            </w:pPr>
            <w:r w:rsidRPr="001E6469">
              <w:rPr>
                <w:rFonts w:cstheme="minorHAnsi"/>
                <w:b/>
              </w:rPr>
              <w:t>Details of current lease agreement:</w:t>
            </w:r>
          </w:p>
        </w:tc>
        <w:tc>
          <w:tcPr>
            <w:tcW w:w="6044" w:type="dxa"/>
            <w:tcMar/>
          </w:tcPr>
          <w:p w:rsidRPr="001E6469" w:rsidR="006023C5" w:rsidP="00BC1657" w:rsidRDefault="006023C5" w14:paraId="121A7A21" w14:textId="77777777">
            <w:pPr>
              <w:rPr>
                <w:rFonts w:cstheme="minorHAnsi"/>
              </w:rPr>
            </w:pPr>
            <w:r w:rsidRPr="001E6469">
              <w:rPr>
                <w:rFonts w:cstheme="minorHAnsi"/>
              </w:rPr>
              <w:t>The Trustees reviewed the current lease agreement and note the following:</w:t>
            </w:r>
          </w:p>
          <w:p w:rsidRPr="001E6469" w:rsidR="006023C5" w:rsidP="00BC1657" w:rsidRDefault="006023C5" w14:paraId="5796A543" w14:textId="06E6D4EE">
            <w:pPr>
              <w:rPr>
                <w:rFonts w:cstheme="minorHAnsi"/>
              </w:rPr>
            </w:pPr>
          </w:p>
          <w:tbl>
            <w:tblPr>
              <w:tblStyle w:val="TableGrid"/>
              <w:tblW w:w="0" w:type="auto"/>
              <w:tblLook w:val="04A0" w:firstRow="1" w:lastRow="0" w:firstColumn="1" w:lastColumn="0" w:noHBand="0" w:noVBand="1"/>
            </w:tblPr>
            <w:tblGrid>
              <w:gridCol w:w="1740"/>
              <w:gridCol w:w="4078"/>
            </w:tblGrid>
            <w:tr w:rsidRPr="001E6469" w:rsidR="006023C5" w:rsidTr="006023C5" w14:paraId="2E6545AB" w14:textId="77777777">
              <w:tc>
                <w:tcPr>
                  <w:tcW w:w="1740" w:type="dxa"/>
                </w:tcPr>
                <w:p w:rsidRPr="001E6469" w:rsidR="006023C5" w:rsidP="00BC1657" w:rsidRDefault="006023C5" w14:paraId="1A52ACC1" w14:textId="293AA0DF">
                  <w:pPr>
                    <w:rPr>
                      <w:rFonts w:cstheme="minorHAnsi"/>
                    </w:rPr>
                  </w:pPr>
                  <w:r w:rsidRPr="001E6469">
                    <w:rPr>
                      <w:rFonts w:cstheme="minorHAnsi"/>
                    </w:rPr>
                    <w:t>Term:</w:t>
                  </w:r>
                </w:p>
              </w:tc>
              <w:tc>
                <w:tcPr>
                  <w:tcW w:w="4078" w:type="dxa"/>
                </w:tcPr>
                <w:p w:rsidRPr="001E6469" w:rsidR="006023C5" w:rsidP="006023C5" w:rsidRDefault="006023C5" w14:paraId="38CE2395" w14:textId="34A79B5F">
                  <w:pPr>
                    <w:rPr>
                      <w:rFonts w:cstheme="minorHAnsi"/>
                    </w:rPr>
                  </w:pPr>
                  <w:r w:rsidRPr="001E6469">
                    <w:rPr>
                      <w:rFonts w:cstheme="minorHAnsi"/>
                    </w:rPr>
                    <w:t xml:space="preserve">1 </w:t>
                  </w:r>
                  <w:r w:rsidR="00092EA8">
                    <w:rPr>
                      <w:rFonts w:cstheme="minorHAnsi"/>
                    </w:rPr>
                    <w:t>October</w:t>
                  </w:r>
                  <w:r w:rsidRPr="001E6469">
                    <w:rPr>
                      <w:rFonts w:cstheme="minorHAnsi"/>
                    </w:rPr>
                    <w:t xml:space="preserve"> 201</w:t>
                  </w:r>
                  <w:r w:rsidR="00092EA8">
                    <w:rPr>
                      <w:rFonts w:cstheme="minorHAnsi"/>
                    </w:rPr>
                    <w:t>8</w:t>
                  </w:r>
                  <w:r w:rsidRPr="001E6469">
                    <w:rPr>
                      <w:rFonts w:cstheme="minorHAnsi"/>
                    </w:rPr>
                    <w:t xml:space="preserve"> – </w:t>
                  </w:r>
                  <w:r w:rsidR="00092EA8">
                    <w:rPr>
                      <w:rFonts w:cstheme="minorHAnsi"/>
                    </w:rPr>
                    <w:t>30 September</w:t>
                  </w:r>
                  <w:r w:rsidRPr="001E6469">
                    <w:rPr>
                      <w:rFonts w:cstheme="minorHAnsi"/>
                    </w:rPr>
                    <w:t xml:space="preserve"> 202</w:t>
                  </w:r>
                  <w:r w:rsidR="00092EA8">
                    <w:rPr>
                      <w:rFonts w:cstheme="minorHAnsi"/>
                    </w:rPr>
                    <w:t>3</w:t>
                  </w:r>
                  <w:r w:rsidRPr="001E6469">
                    <w:rPr>
                      <w:rFonts w:cstheme="minorHAnsi"/>
                    </w:rPr>
                    <w:t xml:space="preserve"> </w:t>
                  </w:r>
                  <w:r w:rsidRPr="001E6469" w:rsidR="00025D67">
                    <w:rPr>
                      <w:rFonts w:cstheme="minorHAnsi"/>
                    </w:rPr>
                    <w:t>(</w:t>
                  </w:r>
                  <w:r w:rsidR="00092EA8">
                    <w:rPr>
                      <w:rFonts w:cstheme="minorHAnsi"/>
                    </w:rPr>
                    <w:t>5</w:t>
                  </w:r>
                  <w:r w:rsidRPr="001E6469" w:rsidR="00025D67">
                    <w:rPr>
                      <w:rFonts w:cstheme="minorHAnsi"/>
                    </w:rPr>
                    <w:t xml:space="preserve"> years)</w:t>
                  </w:r>
                </w:p>
                <w:p w:rsidRPr="001E6469" w:rsidR="006023C5" w:rsidP="00BC1657" w:rsidRDefault="006023C5" w14:paraId="70BA1930" w14:textId="77777777">
                  <w:pPr>
                    <w:rPr>
                      <w:rFonts w:cstheme="minorHAnsi"/>
                    </w:rPr>
                  </w:pPr>
                </w:p>
              </w:tc>
            </w:tr>
            <w:tr w:rsidRPr="001E6469" w:rsidR="006023C5" w:rsidTr="006023C5" w14:paraId="78307E18" w14:textId="77777777">
              <w:tc>
                <w:tcPr>
                  <w:tcW w:w="1740" w:type="dxa"/>
                </w:tcPr>
                <w:p w:rsidRPr="001E6469" w:rsidR="006023C5" w:rsidP="00BC1657" w:rsidRDefault="006023C5" w14:paraId="7E2E7514" w14:textId="7BA34175">
                  <w:pPr>
                    <w:rPr>
                      <w:rFonts w:cstheme="minorHAnsi"/>
                    </w:rPr>
                  </w:pPr>
                  <w:r w:rsidRPr="001E6469">
                    <w:rPr>
                      <w:rFonts w:cstheme="minorHAnsi"/>
                    </w:rPr>
                    <w:t>Rent:</w:t>
                  </w:r>
                </w:p>
              </w:tc>
              <w:tc>
                <w:tcPr>
                  <w:tcW w:w="4078" w:type="dxa"/>
                </w:tcPr>
                <w:p w:rsidRPr="001E6469" w:rsidR="006023C5" w:rsidP="00BC1657" w:rsidRDefault="006023C5" w14:paraId="62604163" w14:textId="1C871777">
                  <w:pPr>
                    <w:rPr>
                      <w:rFonts w:cstheme="minorHAnsi"/>
                    </w:rPr>
                  </w:pPr>
                  <w:r w:rsidRPr="001E6469">
                    <w:rPr>
                      <w:rFonts w:cstheme="minorHAnsi"/>
                    </w:rPr>
                    <w:t>$</w:t>
                  </w:r>
                  <w:r w:rsidR="00092EA8">
                    <w:rPr>
                      <w:rFonts w:cstheme="minorHAnsi"/>
                    </w:rPr>
                    <w:t>1,000</w:t>
                  </w:r>
                  <w:r w:rsidRPr="001E6469">
                    <w:rPr>
                      <w:rFonts w:cstheme="minorHAnsi"/>
                    </w:rPr>
                    <w:t xml:space="preserve"> plus GST per month, payable monthly in </w:t>
                  </w:r>
                  <w:r w:rsidR="00092EA8">
                    <w:rPr>
                      <w:rFonts w:cstheme="minorHAnsi"/>
                    </w:rPr>
                    <w:t>advance</w:t>
                  </w:r>
                </w:p>
                <w:p w:rsidRPr="001E6469" w:rsidR="00025D67" w:rsidP="00092EA8" w:rsidRDefault="00025D67" w14:paraId="574E76CD" w14:textId="589EE266">
                  <w:pPr>
                    <w:rPr>
                      <w:rFonts w:cstheme="minorHAnsi"/>
                    </w:rPr>
                  </w:pPr>
                </w:p>
              </w:tc>
            </w:tr>
            <w:tr w:rsidRPr="001E6469" w:rsidR="006023C5" w:rsidTr="006023C5" w14:paraId="37AD524A" w14:textId="77777777">
              <w:tc>
                <w:tcPr>
                  <w:tcW w:w="1740" w:type="dxa"/>
                </w:tcPr>
                <w:p w:rsidRPr="001E6469" w:rsidR="006023C5" w:rsidP="00BC1657" w:rsidRDefault="006023C5" w14:paraId="776266EF" w14:textId="0A240429">
                  <w:pPr>
                    <w:rPr>
                      <w:rFonts w:cstheme="minorHAnsi"/>
                    </w:rPr>
                  </w:pPr>
                  <w:r w:rsidRPr="001E6469">
                    <w:rPr>
                      <w:rFonts w:cstheme="minorHAnsi"/>
                    </w:rPr>
                    <w:t>Rent Review:</w:t>
                  </w:r>
                </w:p>
              </w:tc>
              <w:tc>
                <w:tcPr>
                  <w:tcW w:w="4078" w:type="dxa"/>
                </w:tcPr>
                <w:p w:rsidRPr="001E6469" w:rsidR="006023C5" w:rsidP="00BC1657" w:rsidRDefault="00092EA8" w14:paraId="60B53F1D" w14:textId="48419616">
                  <w:pPr>
                    <w:rPr>
                      <w:rFonts w:cstheme="minorHAnsi"/>
                    </w:rPr>
                  </w:pPr>
                  <w:r>
                    <w:rPr>
                      <w:rFonts w:cstheme="minorHAnsi"/>
                    </w:rPr>
                    <w:t>Annually in accordance with prevailing market conditions</w:t>
                  </w:r>
                </w:p>
                <w:p w:rsidRPr="001E6469" w:rsidR="00025D67" w:rsidP="00BC1657" w:rsidRDefault="00025D67" w14:paraId="1513E7B9" w14:textId="21B9671B">
                  <w:pPr>
                    <w:rPr>
                      <w:rFonts w:cstheme="minorHAnsi"/>
                    </w:rPr>
                  </w:pPr>
                </w:p>
              </w:tc>
            </w:tr>
            <w:tr w:rsidRPr="001E6469" w:rsidR="00025D67" w:rsidTr="006023C5" w14:paraId="55CC5E94" w14:textId="77777777">
              <w:tc>
                <w:tcPr>
                  <w:tcW w:w="1740" w:type="dxa"/>
                </w:tcPr>
                <w:p w:rsidRPr="001E6469" w:rsidR="00025D67" w:rsidP="00BC1657" w:rsidRDefault="00025D67" w14:paraId="1DCA2F66" w14:textId="4E00161C">
                  <w:pPr>
                    <w:rPr>
                      <w:rFonts w:cstheme="minorHAnsi"/>
                    </w:rPr>
                  </w:pPr>
                  <w:r w:rsidRPr="001E6469">
                    <w:rPr>
                      <w:rFonts w:cstheme="minorHAnsi"/>
                    </w:rPr>
                    <w:t>Options to Renew:</w:t>
                  </w:r>
                </w:p>
              </w:tc>
              <w:tc>
                <w:tcPr>
                  <w:tcW w:w="4078" w:type="dxa"/>
                </w:tcPr>
                <w:p w:rsidRPr="001E6469" w:rsidR="00025D67" w:rsidP="00BC1657" w:rsidRDefault="00092EA8" w14:paraId="708913E0" w14:textId="02E05A7B">
                  <w:pPr>
                    <w:rPr>
                      <w:rFonts w:cstheme="minorHAnsi"/>
                    </w:rPr>
                  </w:pPr>
                  <w:r>
                    <w:rPr>
                      <w:rFonts w:cstheme="minorHAnsi"/>
                    </w:rPr>
                    <w:t>1 x 3 years</w:t>
                  </w:r>
                </w:p>
              </w:tc>
            </w:tr>
          </w:tbl>
          <w:p w:rsidRPr="001E6469" w:rsidR="006023C5" w:rsidP="006023C5" w:rsidRDefault="006023C5" w14:paraId="268734DF" w14:textId="35DE4789">
            <w:pPr>
              <w:rPr>
                <w:rFonts w:cstheme="minorHAnsi"/>
              </w:rPr>
            </w:pPr>
          </w:p>
          <w:p w:rsidRPr="001E6469" w:rsidR="00025D67" w:rsidP="006023C5" w:rsidRDefault="00025D67" w14:paraId="0ACF2648" w14:textId="63D2BC1B">
            <w:pPr>
              <w:rPr>
                <w:rFonts w:cstheme="minorHAnsi"/>
              </w:rPr>
            </w:pPr>
          </w:p>
        </w:tc>
      </w:tr>
    </w:tbl>
    <w:p w:rsidR="00585ABF" w:rsidRDefault="00585ABF" w14:paraId="6767B910" w14:textId="77777777">
      <w:r>
        <w:br w:type="page"/>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972"/>
        <w:gridCol w:w="6044"/>
      </w:tblGrid>
      <w:tr w:rsidRPr="001E6469" w:rsidR="00025D67" w:rsidTr="36D99E24" w14:paraId="5ECB46D9" w14:textId="77777777">
        <w:tc>
          <w:tcPr>
            <w:tcW w:w="2972" w:type="dxa"/>
            <w:tcMar/>
          </w:tcPr>
          <w:p w:rsidRPr="001E6469" w:rsidR="00025D67" w:rsidP="36D99E24" w:rsidRDefault="00167436" w14:paraId="01B58FB1" w14:textId="559A3F57">
            <w:pPr>
              <w:rPr>
                <w:rFonts w:cs="Calibri" w:cstheme="minorAscii"/>
                <w:b w:val="1"/>
                <w:bCs w:val="1"/>
              </w:rPr>
            </w:pPr>
          </w:p>
        </w:tc>
        <w:tc>
          <w:tcPr>
            <w:tcW w:w="6044" w:type="dxa"/>
            <w:tcMar/>
          </w:tcPr>
          <w:p w:rsidRPr="001E6469" w:rsidR="001E6469" w:rsidP="001E6469" w:rsidRDefault="001E6469" w14:paraId="2D56320F" w14:textId="04D09EB7">
            <w:pPr>
              <w:rPr>
                <w:rFonts w:cstheme="minorHAnsi"/>
              </w:rPr>
            </w:pPr>
          </w:p>
        </w:tc>
      </w:tr>
      <w:tr w:rsidRPr="001E6469" w:rsidR="00BC1657" w:rsidTr="36D99E24" w14:paraId="3FF80F17" w14:textId="77777777">
        <w:tc>
          <w:tcPr>
            <w:tcW w:w="2972" w:type="dxa"/>
            <w:tcMar/>
          </w:tcPr>
          <w:p w:rsidRPr="001E6469" w:rsidR="00BC1657" w:rsidP="00BC1657" w:rsidRDefault="00BC1657" w14:paraId="3472BD16" w14:textId="77777777">
            <w:pPr>
              <w:rPr>
                <w:rFonts w:cstheme="minorHAnsi"/>
                <w:b/>
              </w:rPr>
            </w:pPr>
            <w:r w:rsidRPr="001E6469">
              <w:rPr>
                <w:rFonts w:cstheme="minorHAnsi"/>
                <w:b/>
              </w:rPr>
              <w:t>Trustee Acknowledgement:</w:t>
            </w:r>
          </w:p>
        </w:tc>
        <w:tc>
          <w:tcPr>
            <w:tcW w:w="6044" w:type="dxa"/>
            <w:tcMar/>
          </w:tcPr>
          <w:p w:rsidR="00366665" w:rsidP="36D99E24" w:rsidRDefault="00141938" w14:paraId="4D538A5A" w14:textId="402AE4B1">
            <w:pPr>
              <w:rPr>
                <w:rFonts w:cs="Calibri" w:cstheme="minorAscii"/>
              </w:rPr>
            </w:pPr>
            <w:r w:rsidRPr="36D99E24" w:rsidR="00141938">
              <w:rPr>
                <w:rFonts w:cs="Calibri" w:cstheme="minorAscii"/>
              </w:rPr>
              <w:t>After due consideration,</w:t>
            </w:r>
            <w:r w:rsidRPr="36D99E24" w:rsidR="00585ABF">
              <w:rPr>
                <w:rFonts w:cs="Calibri" w:cstheme="minorAscii"/>
              </w:rPr>
              <w:t xml:space="preserve"> </w:t>
            </w:r>
            <w:r w:rsidRPr="36D99E24" w:rsidR="00141938">
              <w:rPr>
                <w:rFonts w:cs="Calibri" w:cstheme="minorAscii"/>
              </w:rPr>
              <w:t>t</w:t>
            </w:r>
            <w:r w:rsidRPr="36D99E24" w:rsidR="006023C5">
              <w:rPr>
                <w:rFonts w:cs="Calibri" w:cstheme="minorAscii"/>
              </w:rPr>
              <w:t>he Trustees have resolved to</w:t>
            </w:r>
            <w:r w:rsidRPr="36D99E24" w:rsidR="00141938">
              <w:rPr>
                <w:rFonts w:cs="Calibri" w:cstheme="minorAscii"/>
              </w:rPr>
              <w:t xml:space="preserve"> extend the temporary </w:t>
            </w:r>
            <w:r w:rsidRPr="36D99E24" w:rsidR="7A8D3809">
              <w:rPr>
                <w:rFonts w:cs="Calibri" w:cstheme="minorAscii"/>
              </w:rPr>
              <w:t xml:space="preserve">rent relief to </w:t>
            </w:r>
            <w:r w:rsidRPr="36D99E24" w:rsidR="00141938">
              <w:rPr>
                <w:rFonts w:cs="Calibri" w:cstheme="minorAscii"/>
              </w:rPr>
              <w:t xml:space="preserve">30 </w:t>
            </w:r>
            <w:r w:rsidRPr="36D99E24" w:rsidR="79741123">
              <w:rPr>
                <w:rFonts w:cs="Calibri" w:cstheme="minorAscii"/>
              </w:rPr>
              <w:t xml:space="preserve">June </w:t>
            </w:r>
            <w:r w:rsidRPr="36D99E24" w:rsidR="00141938">
              <w:rPr>
                <w:rFonts w:cs="Calibri" w:cstheme="minorAscii"/>
              </w:rPr>
              <w:t>2021</w:t>
            </w:r>
            <w:r w:rsidRPr="36D99E24" w:rsidR="7A8D3809">
              <w:rPr>
                <w:rFonts w:cs="Calibri" w:cstheme="minorAscii"/>
              </w:rPr>
              <w:t xml:space="preserve"> as follows:</w:t>
            </w:r>
          </w:p>
          <w:p w:rsidR="008F2309" w:rsidP="001E739E" w:rsidRDefault="008F2309" w14:paraId="42109A52" w14:textId="77777777">
            <w:pPr>
              <w:rPr>
                <w:rFonts w:cstheme="minorHAnsi"/>
              </w:rPr>
            </w:pPr>
          </w:p>
          <w:tbl>
            <w:tblPr>
              <w:tblStyle w:val="TableGrid"/>
              <w:tblW w:w="0" w:type="auto"/>
              <w:tblInd w:w="464" w:type="dxa"/>
              <w:tblLook w:val="04A0" w:firstRow="1" w:lastRow="0" w:firstColumn="1" w:lastColumn="0" w:noHBand="0" w:noVBand="1"/>
            </w:tblPr>
            <w:tblGrid>
              <w:gridCol w:w="2977"/>
              <w:gridCol w:w="2126"/>
            </w:tblGrid>
            <w:tr w:rsidR="008F2309" w:rsidTr="36D99E24" w14:paraId="4EBC78F7" w14:textId="77777777">
              <w:tc>
                <w:tcPr>
                  <w:tcW w:w="2977" w:type="dxa"/>
                  <w:tcMar/>
                </w:tcPr>
                <w:p w:rsidR="008F2309" w:rsidP="001E739E" w:rsidRDefault="008F2309" w14:paraId="6AFD196D" w14:textId="1815FE3A">
                  <w:pPr>
                    <w:rPr>
                      <w:rFonts w:cstheme="minorHAnsi"/>
                    </w:rPr>
                  </w:pPr>
                  <w:r>
                    <w:rPr>
                      <w:rFonts w:cstheme="minorHAnsi"/>
                    </w:rPr>
                    <w:t>Rent Reduction:</w:t>
                  </w:r>
                </w:p>
              </w:tc>
              <w:tc>
                <w:tcPr>
                  <w:tcW w:w="2126" w:type="dxa"/>
                  <w:tcMar/>
                </w:tcPr>
                <w:p w:rsidRPr="00BF5DE0" w:rsidR="008F2309" w:rsidP="36D99E24" w:rsidRDefault="00BF5DE0" w14:paraId="596C7599" w14:textId="6340B4D0">
                  <w:pPr>
                    <w:rPr>
                      <w:rFonts w:cs="Calibri" w:cstheme="minorAscii"/>
                    </w:rPr>
                  </w:pPr>
                  <w:r w:rsidRPr="36D99E24" w:rsidR="79741123">
                    <w:rPr>
                      <w:rFonts w:cs="Calibri" w:cstheme="minorAscii"/>
                    </w:rPr>
                    <w:t>$250.00</w:t>
                  </w:r>
                </w:p>
              </w:tc>
            </w:tr>
            <w:tr w:rsidR="008F2309" w:rsidTr="36D99E24" w14:paraId="5F823597" w14:textId="77777777">
              <w:tc>
                <w:tcPr>
                  <w:tcW w:w="2977" w:type="dxa"/>
                  <w:tcMar/>
                </w:tcPr>
                <w:p w:rsidR="008F2309" w:rsidP="001E739E" w:rsidRDefault="008F2309" w14:paraId="2F798289" w14:textId="4F176EFE">
                  <w:pPr>
                    <w:rPr>
                      <w:rFonts w:cstheme="minorHAnsi"/>
                    </w:rPr>
                  </w:pPr>
                  <w:r>
                    <w:rPr>
                      <w:rFonts w:cstheme="minorHAnsi"/>
                    </w:rPr>
                    <w:t>Rent Deferral for 24 months:</w:t>
                  </w:r>
                </w:p>
              </w:tc>
              <w:tc>
                <w:tcPr>
                  <w:tcW w:w="2126" w:type="dxa"/>
                  <w:tcMar/>
                </w:tcPr>
                <w:p w:rsidRPr="00BF5DE0" w:rsidR="008F2309" w:rsidP="001E739E" w:rsidRDefault="00BF5DE0" w14:paraId="00DF1EF1" w14:textId="63E1829E">
                  <w:pPr>
                    <w:rPr>
                      <w:rFonts w:cstheme="minorHAnsi"/>
                    </w:rPr>
                  </w:pPr>
                  <w:r w:rsidRPr="00BF5DE0">
                    <w:rPr>
                      <w:rFonts w:cstheme="minorHAnsi"/>
                    </w:rPr>
                    <w:t>N/a</w:t>
                  </w:r>
                </w:p>
              </w:tc>
            </w:tr>
            <w:tr w:rsidR="008F2309" w:rsidTr="36D99E24" w14:paraId="1093EEE4" w14:textId="77777777">
              <w:tc>
                <w:tcPr>
                  <w:tcW w:w="2977" w:type="dxa"/>
                  <w:tcMar/>
                </w:tcPr>
                <w:p w:rsidR="008F2309" w:rsidP="001E739E" w:rsidRDefault="008F2309" w14:paraId="2F510292" w14:textId="304FA189">
                  <w:pPr>
                    <w:rPr>
                      <w:rFonts w:cstheme="minorHAnsi"/>
                    </w:rPr>
                  </w:pPr>
                  <w:r>
                    <w:rPr>
                      <w:rFonts w:cstheme="minorHAnsi"/>
                    </w:rPr>
                    <w:t xml:space="preserve">Total </w:t>
                  </w:r>
                  <w:r w:rsidR="00015786">
                    <w:rPr>
                      <w:rFonts w:cstheme="minorHAnsi"/>
                    </w:rPr>
                    <w:t>Rent Relief</w:t>
                  </w:r>
                </w:p>
              </w:tc>
              <w:tc>
                <w:tcPr>
                  <w:tcW w:w="2126" w:type="dxa"/>
                  <w:tcMar/>
                </w:tcPr>
                <w:p w:rsidRPr="00BF5DE0" w:rsidR="008F2309" w:rsidP="36D99E24" w:rsidRDefault="008F2309" w14:paraId="05FECE69" w14:textId="03CA9E08">
                  <w:pPr>
                    <w:rPr>
                      <w:rFonts w:cs="Calibri" w:cstheme="minorAscii"/>
                    </w:rPr>
                  </w:pPr>
                  <w:r w:rsidRPr="36D99E24" w:rsidR="008F2309">
                    <w:rPr>
                      <w:rFonts w:cs="Calibri" w:cstheme="minorAscii"/>
                    </w:rPr>
                    <w:t>$</w:t>
                  </w:r>
                  <w:r w:rsidRPr="36D99E24" w:rsidR="79741123">
                    <w:rPr>
                      <w:rFonts w:cs="Calibri" w:cstheme="minorAscii"/>
                    </w:rPr>
                    <w:t>250.00</w:t>
                  </w:r>
                  <w:r w:rsidRPr="36D99E24" w:rsidR="008F2309">
                    <w:rPr>
                      <w:rFonts w:cs="Calibri" w:cstheme="minorAscii"/>
                    </w:rPr>
                    <w:t xml:space="preserve"> = </w:t>
                  </w:r>
                  <w:r w:rsidRPr="36D99E24" w:rsidR="79741123">
                    <w:rPr>
                      <w:rFonts w:cs="Calibri" w:cstheme="minorAscii"/>
                    </w:rPr>
                    <w:t>25</w:t>
                  </w:r>
                  <w:r w:rsidRPr="36D99E24" w:rsidR="18C052EB">
                    <w:rPr>
                      <w:rFonts w:cs="Calibri" w:cstheme="minorAscii"/>
                    </w:rPr>
                    <w:t>%</w:t>
                  </w:r>
                </w:p>
              </w:tc>
            </w:tr>
            <w:tr w:rsidR="00015786" w:rsidTr="36D99E24" w14:paraId="6D361177" w14:textId="77777777">
              <w:tc>
                <w:tcPr>
                  <w:tcW w:w="2977" w:type="dxa"/>
                  <w:tcMar/>
                </w:tcPr>
                <w:p w:rsidR="00015786" w:rsidP="001E739E" w:rsidRDefault="00015786" w14:paraId="701AEB52" w14:textId="314D00E7">
                  <w:pPr>
                    <w:rPr>
                      <w:rFonts w:cstheme="minorHAnsi"/>
                    </w:rPr>
                  </w:pPr>
                  <w:r>
                    <w:rPr>
                      <w:rFonts w:cstheme="minorHAnsi"/>
                    </w:rPr>
                    <w:t>Monthly Rent Payable</w:t>
                  </w:r>
                </w:p>
              </w:tc>
              <w:tc>
                <w:tcPr>
                  <w:tcW w:w="2126" w:type="dxa"/>
                  <w:tcMar/>
                </w:tcPr>
                <w:p w:rsidRPr="00BF5DE0" w:rsidR="00015786" w:rsidP="36D99E24" w:rsidRDefault="00015786" w14:paraId="53C2A4B8" w14:textId="6B47BCCB">
                  <w:pPr>
                    <w:rPr>
                      <w:rFonts w:cs="Calibri" w:cstheme="minorAscii"/>
                    </w:rPr>
                  </w:pPr>
                  <w:r w:rsidRPr="36D99E24" w:rsidR="18C052EB">
                    <w:rPr>
                      <w:rFonts w:cs="Calibri" w:cstheme="minorAscii"/>
                    </w:rPr>
                    <w:t>$</w:t>
                  </w:r>
                  <w:r w:rsidRPr="36D99E24" w:rsidR="79741123">
                    <w:rPr>
                      <w:rFonts w:cs="Calibri" w:cstheme="minorAscii"/>
                    </w:rPr>
                    <w:t>250.00</w:t>
                  </w:r>
                  <w:r w:rsidRPr="36D99E24" w:rsidR="18C052EB">
                    <w:rPr>
                      <w:rFonts w:cs="Calibri" w:cstheme="minorAscii"/>
                    </w:rPr>
                    <w:t xml:space="preserve"> = </w:t>
                  </w:r>
                  <w:r w:rsidRPr="36D99E24" w:rsidR="79741123">
                    <w:rPr>
                      <w:rFonts w:cs="Calibri" w:cstheme="minorAscii"/>
                    </w:rPr>
                    <w:t>25</w:t>
                  </w:r>
                  <w:r w:rsidRPr="36D99E24" w:rsidR="18C052EB">
                    <w:rPr>
                      <w:rFonts w:cs="Calibri" w:cstheme="minorAscii"/>
                    </w:rPr>
                    <w:t>%</w:t>
                  </w:r>
                </w:p>
              </w:tc>
            </w:tr>
          </w:tbl>
          <w:p w:rsidR="00366665" w:rsidP="001E739E" w:rsidRDefault="00366665" w14:paraId="3968297B" w14:textId="76A4773E">
            <w:pPr>
              <w:rPr>
                <w:rFonts w:cstheme="minorHAnsi"/>
              </w:rPr>
            </w:pPr>
          </w:p>
          <w:p w:rsidR="00095CF6" w:rsidP="001E739E" w:rsidRDefault="00585ABF" w14:paraId="2103EAEE" w14:textId="290D6CEF">
            <w:pPr>
              <w:rPr>
                <w:rFonts w:cstheme="minorHAnsi"/>
              </w:rPr>
            </w:pPr>
            <w:r>
              <w:rPr>
                <w:rFonts w:cstheme="minorHAnsi"/>
              </w:rPr>
              <w:t>This decision is subject to there being no changes to the tenant’s financial situation during this period.  Should there be any changes, the tenant is to notify the landlord of the changes promptly.</w:t>
            </w:r>
          </w:p>
          <w:p w:rsidR="00095CF6" w:rsidP="001E739E" w:rsidRDefault="00095CF6" w14:paraId="10AA1D40" w14:textId="77777777">
            <w:pPr>
              <w:rPr>
                <w:rFonts w:cstheme="minorHAnsi"/>
              </w:rPr>
            </w:pPr>
          </w:p>
          <w:p w:rsidR="00BC1657" w:rsidP="001E739E" w:rsidRDefault="008F2309" w14:paraId="01625173" w14:textId="4D14FCDC">
            <w:pPr>
              <w:rPr>
                <w:rFonts w:cstheme="minorHAnsi"/>
              </w:rPr>
            </w:pPr>
            <w:r>
              <w:rPr>
                <w:rFonts w:cstheme="minorHAnsi"/>
              </w:rPr>
              <w:t>It is noted that t</w:t>
            </w:r>
            <w:r w:rsidR="00141938">
              <w:rPr>
                <w:rFonts w:cstheme="minorHAnsi"/>
              </w:rPr>
              <w:t>he tenant</w:t>
            </w:r>
            <w:r w:rsidR="00585ABF">
              <w:rPr>
                <w:rFonts w:cstheme="minorHAnsi"/>
              </w:rPr>
              <w:t xml:space="preserve"> </w:t>
            </w:r>
            <w:r w:rsidR="00141938">
              <w:rPr>
                <w:rFonts w:cstheme="minorHAnsi"/>
              </w:rPr>
              <w:t>is still required to continue paying the outgoings.</w:t>
            </w:r>
          </w:p>
          <w:p w:rsidR="00585ABF" w:rsidP="001E739E" w:rsidRDefault="00585ABF" w14:paraId="0E218BFE" w14:textId="001B81D7">
            <w:pPr>
              <w:rPr>
                <w:rFonts w:cstheme="minorHAnsi"/>
              </w:rPr>
            </w:pPr>
          </w:p>
          <w:p w:rsidR="00585ABF" w:rsidP="36D99E24" w:rsidRDefault="00504635" w14:paraId="475F1239" w14:textId="73453FEB">
            <w:pPr>
              <w:pStyle w:val="Normal"/>
              <w:ind w:left="0"/>
              <w:rPr>
                <w:rFonts w:cs="Calibri" w:cstheme="minorAscii"/>
              </w:rPr>
            </w:pPr>
            <w:r w:rsidRPr="36D99E24" w:rsidR="00585ABF">
              <w:rPr>
                <w:rFonts w:cs="Calibri" w:cstheme="minorAscii"/>
              </w:rPr>
              <w:t xml:space="preserve">The Trustees resolved to re-review the above decision </w:t>
            </w:r>
            <w:r w:rsidRPr="36D99E24" w:rsidR="24495858">
              <w:rPr>
                <w:rFonts w:cs="Calibri" w:cstheme="minorAscii"/>
              </w:rPr>
              <w:t xml:space="preserve">upon notification from the tenant </w:t>
            </w:r>
            <w:r w:rsidRPr="36D99E24" w:rsidR="24495858">
              <w:rPr>
                <w:rFonts w:cs="Calibri" w:cstheme="minorAscii"/>
              </w:rPr>
              <w:t>that there has been a</w:t>
            </w:r>
            <w:r w:rsidRPr="36D99E24" w:rsidR="24495858">
              <w:rPr>
                <w:rFonts w:cs="Calibri" w:cstheme="minorAscii"/>
              </w:rPr>
              <w:t xml:space="preserve"> change to their circumstances.</w:t>
            </w:r>
          </w:p>
          <w:p w:rsidRPr="00504635" w:rsidR="00504635" w:rsidP="00504635" w:rsidRDefault="00504635" w14:paraId="7E52C77B" w14:textId="77777777">
            <w:pPr>
              <w:pStyle w:val="ListParagraph"/>
              <w:rPr>
                <w:rFonts w:cstheme="minorHAnsi"/>
              </w:rPr>
            </w:pPr>
          </w:p>
          <w:p w:rsidR="00585ABF" w:rsidP="001E739E" w:rsidRDefault="00585ABF" w14:paraId="15791D53" w14:textId="118A423B">
            <w:pPr>
              <w:rPr>
                <w:rFonts w:cstheme="minorHAnsi"/>
              </w:rPr>
            </w:pPr>
            <w:r>
              <w:rPr>
                <w:rFonts w:cstheme="minorHAnsi"/>
              </w:rPr>
              <w:lastRenderedPageBreak/>
              <w:t>The Trustee resolved to communicate these decisions to the tenant in writing.</w:t>
            </w:r>
          </w:p>
          <w:p w:rsidRPr="001E6469" w:rsidR="001E6469" w:rsidP="001E739E" w:rsidRDefault="001E6469" w14:paraId="39E5CD0C" w14:textId="763243DC">
            <w:pPr>
              <w:rPr>
                <w:rFonts w:cstheme="minorHAnsi"/>
              </w:rPr>
            </w:pPr>
          </w:p>
        </w:tc>
      </w:tr>
      <w:tr w:rsidRPr="001E6469" w:rsidR="00BC1657" w:rsidTr="36D99E24" w14:paraId="653E6C00" w14:textId="77777777">
        <w:tc>
          <w:tcPr>
            <w:tcW w:w="2972" w:type="dxa"/>
            <w:tcMar/>
          </w:tcPr>
          <w:p w:rsidRPr="001E6469" w:rsidR="00BC1657" w:rsidP="00BC1657" w:rsidRDefault="00BC1657" w14:paraId="2A67B502" w14:textId="456857D1">
            <w:pPr>
              <w:rPr>
                <w:rFonts w:cstheme="minorHAnsi"/>
                <w:b/>
              </w:rPr>
            </w:pPr>
            <w:r w:rsidRPr="001E6469">
              <w:rPr>
                <w:rFonts w:cstheme="minorHAnsi"/>
                <w:b/>
              </w:rPr>
              <w:lastRenderedPageBreak/>
              <w:t>Closure:</w:t>
            </w:r>
          </w:p>
        </w:tc>
        <w:tc>
          <w:tcPr>
            <w:tcW w:w="6044" w:type="dxa"/>
            <w:tcMar/>
          </w:tcPr>
          <w:p w:rsidRPr="001E6469" w:rsidR="00BC1657" w:rsidP="00BC1657" w:rsidRDefault="00BC1657" w14:paraId="6797C46C" w14:textId="77777777">
            <w:pPr>
              <w:rPr>
                <w:rFonts w:cstheme="minorHAnsi"/>
              </w:rPr>
            </w:pPr>
            <w:r w:rsidRPr="001E6469">
              <w:rPr>
                <w:rFonts w:cstheme="minorHAnsi"/>
              </w:rPr>
              <w:t>There being no further business, the meeting was declared closed.</w:t>
            </w:r>
          </w:p>
          <w:p w:rsidRPr="001E6469" w:rsidR="00BC1657" w:rsidP="00BC1657" w:rsidRDefault="00BC1657" w14:paraId="44575400" w14:textId="77777777">
            <w:pPr>
              <w:rPr>
                <w:rFonts w:cstheme="minorHAnsi"/>
              </w:rPr>
            </w:pPr>
          </w:p>
        </w:tc>
      </w:tr>
      <w:tr w:rsidRPr="001E6469" w:rsidR="00180B90" w:rsidTr="36D99E24" w14:paraId="73E0290B" w14:textId="77777777">
        <w:tc>
          <w:tcPr>
            <w:tcW w:w="2972" w:type="dxa"/>
            <w:tcMar/>
          </w:tcPr>
          <w:p w:rsidRPr="001E6469" w:rsidR="00180B90" w:rsidP="00BC1657" w:rsidRDefault="00180B90" w14:paraId="20B9DE50" w14:textId="77777777">
            <w:pPr>
              <w:rPr>
                <w:rFonts w:cstheme="minorHAnsi"/>
                <w:b/>
              </w:rPr>
            </w:pPr>
          </w:p>
        </w:tc>
        <w:tc>
          <w:tcPr>
            <w:tcW w:w="6044" w:type="dxa"/>
            <w:tcMar/>
          </w:tcPr>
          <w:p w:rsidRPr="001E6469" w:rsidR="00180B90" w:rsidP="00BC1657" w:rsidRDefault="00180B90" w14:paraId="15927569" w14:textId="77777777">
            <w:pPr>
              <w:rPr>
                <w:rFonts w:cstheme="minorHAnsi"/>
              </w:rPr>
            </w:pPr>
            <w:r w:rsidRPr="001E6469">
              <w:rPr>
                <w:rFonts w:cstheme="minorHAnsi"/>
              </w:rPr>
              <w:t>Signed as a true and correct record</w:t>
            </w:r>
          </w:p>
          <w:p w:rsidRPr="001E6469" w:rsidR="00180B90" w:rsidP="00BC1657" w:rsidRDefault="00180B90" w14:paraId="2EAF0886" w14:textId="77777777">
            <w:pPr>
              <w:rPr>
                <w:rFonts w:cstheme="minorHAnsi"/>
              </w:rPr>
            </w:pPr>
          </w:p>
          <w:p w:rsidRPr="001E6469" w:rsidR="00180B90" w:rsidP="00BC1657" w:rsidRDefault="00180B90" w14:paraId="0BE6CC2F" w14:textId="77777777">
            <w:pPr>
              <w:rPr>
                <w:rFonts w:cstheme="minorHAnsi"/>
              </w:rPr>
            </w:pPr>
          </w:p>
          <w:p w:rsidRPr="001E6469" w:rsidR="0066063F" w:rsidP="00BC1657" w:rsidRDefault="0066063F" w14:paraId="3033CFD6" w14:textId="77777777">
            <w:pPr>
              <w:rPr>
                <w:rFonts w:cstheme="minorHAnsi"/>
              </w:rPr>
            </w:pPr>
          </w:p>
          <w:p w:rsidRPr="001E6469" w:rsidR="00180B90" w:rsidP="00BC1657" w:rsidRDefault="00180B90" w14:paraId="4EB91763" w14:textId="77777777">
            <w:pPr>
              <w:rPr>
                <w:rFonts w:cstheme="minorHAnsi"/>
              </w:rPr>
            </w:pPr>
            <w:r w:rsidRPr="001E6469">
              <w:rPr>
                <w:rFonts w:cstheme="minorHAnsi"/>
              </w:rPr>
              <w:t>…………………………………………………….</w:t>
            </w:r>
          </w:p>
          <w:p w:rsidR="00BF5DE0" w:rsidP="00BF5DE0" w:rsidRDefault="00BF5DE0" w14:paraId="25F099B4" w14:textId="77777777">
            <w:pPr>
              <w:rPr>
                <w:rFonts w:cstheme="minorHAnsi"/>
              </w:rPr>
            </w:pPr>
            <w:r>
              <w:rPr>
                <w:rFonts w:cstheme="minorHAnsi"/>
              </w:rPr>
              <w:t>James Greville</w:t>
            </w:r>
          </w:p>
          <w:p w:rsidRPr="001E6469" w:rsidR="00180B90" w:rsidP="00BC1657" w:rsidRDefault="00180B90" w14:paraId="2DC31838" w14:textId="3218D5FE">
            <w:pPr>
              <w:rPr>
                <w:rFonts w:cstheme="minorHAnsi"/>
              </w:rPr>
            </w:pPr>
          </w:p>
          <w:p w:rsidRPr="001E6469" w:rsidR="00605F7B" w:rsidP="00BC1657" w:rsidRDefault="00605F7B" w14:paraId="7DD65047" w14:textId="21D2C049">
            <w:pPr>
              <w:rPr>
                <w:rFonts w:cstheme="minorHAnsi"/>
              </w:rPr>
            </w:pPr>
          </w:p>
          <w:p w:rsidRPr="001E6469" w:rsidR="00605F7B" w:rsidP="00BC1657" w:rsidRDefault="00605F7B" w14:paraId="2D277A2D" w14:textId="77777777">
            <w:pPr>
              <w:rPr>
                <w:rFonts w:cstheme="minorHAnsi"/>
              </w:rPr>
            </w:pPr>
          </w:p>
          <w:p w:rsidRPr="001E6469" w:rsidR="00605F7B" w:rsidP="00605F7B" w:rsidRDefault="00605F7B" w14:paraId="7640C2B9" w14:textId="77777777">
            <w:pPr>
              <w:rPr>
                <w:rFonts w:cstheme="minorHAnsi"/>
              </w:rPr>
            </w:pPr>
            <w:r w:rsidRPr="001E6469">
              <w:rPr>
                <w:rFonts w:cstheme="minorHAnsi"/>
              </w:rPr>
              <w:t>…………………………………………………….</w:t>
            </w:r>
          </w:p>
          <w:p w:rsidRPr="001E6469" w:rsidR="00180B90" w:rsidP="00BC1657" w:rsidRDefault="00BF5DE0" w14:paraId="3084DB5C" w14:textId="2B83B4F5">
            <w:pPr>
              <w:rPr>
                <w:rFonts w:cstheme="minorHAnsi"/>
              </w:rPr>
            </w:pPr>
            <w:r>
              <w:rPr>
                <w:rFonts w:cstheme="minorHAnsi"/>
              </w:rPr>
              <w:t>Victoria Garret</w:t>
            </w:r>
          </w:p>
        </w:tc>
      </w:tr>
    </w:tbl>
    <w:p w:rsidR="00BC1657" w:rsidP="00BC1657" w:rsidRDefault="00BC1657" w14:paraId="2F6233B7" w14:textId="0D52355E">
      <w:pPr>
        <w:spacing w:after="0" w:line="240" w:lineRule="auto"/>
      </w:pPr>
    </w:p>
    <w:sectPr w:rsidR="00BC1657">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FC7E0D"/>
    <w:multiLevelType w:val="hybridMultilevel"/>
    <w:tmpl w:val="90AEC81A"/>
    <w:lvl w:ilvl="0">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 w15:restartNumberingAfterBreak="0">
    <w:nsid w:val="21A56993"/>
    <w:multiLevelType w:val="hybridMultilevel"/>
    <w:tmpl w:val="B952092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657"/>
    <w:rsid w:val="00015786"/>
    <w:rsid w:val="00025D67"/>
    <w:rsid w:val="00092EA8"/>
    <w:rsid w:val="00095CF6"/>
    <w:rsid w:val="000F5A66"/>
    <w:rsid w:val="00116C73"/>
    <w:rsid w:val="001245E4"/>
    <w:rsid w:val="00141938"/>
    <w:rsid w:val="00167436"/>
    <w:rsid w:val="00180B90"/>
    <w:rsid w:val="001E6469"/>
    <w:rsid w:val="001E739E"/>
    <w:rsid w:val="00366665"/>
    <w:rsid w:val="00504635"/>
    <w:rsid w:val="00585ABF"/>
    <w:rsid w:val="006023C5"/>
    <w:rsid w:val="00605F7B"/>
    <w:rsid w:val="0066063F"/>
    <w:rsid w:val="006835D7"/>
    <w:rsid w:val="006E19BE"/>
    <w:rsid w:val="00837889"/>
    <w:rsid w:val="008F2309"/>
    <w:rsid w:val="00A51989"/>
    <w:rsid w:val="00BC1657"/>
    <w:rsid w:val="00BF5DE0"/>
    <w:rsid w:val="00C14597"/>
    <w:rsid w:val="032BD5EC"/>
    <w:rsid w:val="0BD07CEF"/>
    <w:rsid w:val="18C052EB"/>
    <w:rsid w:val="1E737186"/>
    <w:rsid w:val="225B0D3C"/>
    <w:rsid w:val="24495858"/>
    <w:rsid w:val="36862EE5"/>
    <w:rsid w:val="36D99E24"/>
    <w:rsid w:val="390B122C"/>
    <w:rsid w:val="43A5B765"/>
    <w:rsid w:val="590FB913"/>
    <w:rsid w:val="7138DC48"/>
    <w:rsid w:val="73BDBF8F"/>
    <w:rsid w:val="79741123"/>
    <w:rsid w:val="7A8D38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3E5EA"/>
  <w15:chartTrackingRefBased/>
  <w15:docId w15:val="{3BC13FFE-B5A3-4560-B49B-6D486B626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BC165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A519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0813017">
      <w:bodyDiv w:val="1"/>
      <w:marLeft w:val="0"/>
      <w:marRight w:val="0"/>
      <w:marTop w:val="0"/>
      <w:marBottom w:val="0"/>
      <w:divBdr>
        <w:top w:val="none" w:sz="0" w:space="0" w:color="auto"/>
        <w:left w:val="none" w:sz="0" w:space="0" w:color="auto"/>
        <w:bottom w:val="none" w:sz="0" w:space="0" w:color="auto"/>
        <w:right w:val="none" w:sz="0" w:space="0" w:color="auto"/>
      </w:divBdr>
    </w:div>
    <w:div w:id="1384602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5947268ED8DE4E8C3C0C60AC0BDC52" ma:contentTypeVersion="12" ma:contentTypeDescription="Create a new document." ma:contentTypeScope="" ma:versionID="47f7ddac3dca545e556df0b548613c75">
  <xsd:schema xmlns:xsd="http://www.w3.org/2001/XMLSchema" xmlns:xs="http://www.w3.org/2001/XMLSchema" xmlns:p="http://schemas.microsoft.com/office/2006/metadata/properties" xmlns:ns2="171baf46-e54f-4960-9045-6796342ce211" xmlns:ns3="929daec0-3f85-4f7a-9798-63894498ffdd" targetNamespace="http://schemas.microsoft.com/office/2006/metadata/properties" ma:root="true" ma:fieldsID="064bdd80cd45260bb5c9f0128d8f7efe" ns2:_="" ns3:_="">
    <xsd:import namespace="171baf46-e54f-4960-9045-6796342ce211"/>
    <xsd:import namespace="929daec0-3f85-4f7a-9798-63894498ffd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1baf46-e54f-4960-9045-6796342ce2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9daec0-3f85-4f7a-9798-63894498ffd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4847B3-B348-4330-8FAB-F8A0106FE287}"/>
</file>

<file path=customXml/itemProps2.xml><?xml version="1.0" encoding="utf-8"?>
<ds:datastoreItem xmlns:ds="http://schemas.openxmlformats.org/officeDocument/2006/customXml" ds:itemID="{1E2DEA06-0BEA-4778-8AB5-DED12C9EB1A2}"/>
</file>

<file path=customXml/itemProps3.xml><?xml version="1.0" encoding="utf-8"?>
<ds:datastoreItem xmlns:ds="http://schemas.openxmlformats.org/officeDocument/2006/customXml" ds:itemID="{30250F6C-B349-42E4-B9D4-9A745B3D873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Danielle Barrow</dc:creator>
  <keywords/>
  <dc:description/>
  <lastModifiedBy>Danielle Barrow</lastModifiedBy>
  <revision>13</revision>
  <dcterms:created xsi:type="dcterms:W3CDTF">2020-04-26T23:15:00.0000000Z</dcterms:created>
  <dcterms:modified xsi:type="dcterms:W3CDTF">2022-05-19T02:07:17.5570240Z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0x010100805947268ED8DE4E8C3C0C60AC0BDC52</vt:lpwstr>
  </property>
  <property fmtid="{D5CDD505-2E9C-101B-9397-08002B2CF9AE}" pid="3" name="Order">
    <vt:r8>23817400</vt:r8>
  </property>
</Properties>
</file>