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9C61F" w14:textId="77777777" w:rsidR="00523AA2" w:rsidRPr="00E517FF" w:rsidRDefault="00523AA2" w:rsidP="00E517FF">
      <w:pPr>
        <w:pStyle w:val="BodyText"/>
        <w:tabs>
          <w:tab w:val="left" w:pos="1590"/>
          <w:tab w:val="center" w:pos="4535"/>
        </w:tabs>
        <w:spacing w:after="0"/>
        <w:jc w:val="center"/>
        <w:rPr>
          <w:rFonts w:asciiTheme="minorHAnsi" w:hAnsiTheme="minorHAnsi" w:cstheme="minorHAnsi"/>
          <w:b/>
          <w:bCs/>
          <w:sz w:val="21"/>
          <w:szCs w:val="21"/>
        </w:rPr>
      </w:pPr>
      <w:r w:rsidRPr="00E517FF">
        <w:rPr>
          <w:rFonts w:asciiTheme="minorHAnsi" w:hAnsiTheme="minorHAnsi" w:cstheme="minorHAnsi"/>
          <w:b/>
          <w:bCs/>
          <w:sz w:val="21"/>
          <w:szCs w:val="21"/>
        </w:rPr>
        <w:t>INVESTMENT STRATEGY OF</w:t>
      </w:r>
    </w:p>
    <w:p w14:paraId="7F026408" w14:textId="76C51DA7" w:rsidR="00CB5A53" w:rsidRPr="00E517FF" w:rsidRDefault="002570C7" w:rsidP="00E517FF">
      <w:pPr>
        <w:pStyle w:val="BodyText"/>
        <w:tabs>
          <w:tab w:val="left" w:pos="1590"/>
          <w:tab w:val="center" w:pos="4535"/>
        </w:tabs>
        <w:spacing w:after="0"/>
        <w:jc w:val="center"/>
        <w:rPr>
          <w:rFonts w:asciiTheme="minorHAnsi" w:hAnsiTheme="minorHAnsi" w:cstheme="minorHAnsi"/>
          <w:b/>
          <w:bCs/>
          <w:sz w:val="21"/>
          <w:szCs w:val="21"/>
        </w:rPr>
      </w:pPr>
      <w:r>
        <w:rPr>
          <w:rFonts w:asciiTheme="minorHAnsi" w:hAnsiTheme="minorHAnsi" w:cstheme="minorHAnsi"/>
          <w:b/>
          <w:bCs/>
          <w:sz w:val="21"/>
          <w:szCs w:val="21"/>
        </w:rPr>
        <w:t>DANNY WONG SUPER FUND</w:t>
      </w:r>
    </w:p>
    <w:p w14:paraId="19C47FC5" w14:textId="77777777" w:rsidR="00523AA2" w:rsidRPr="00E517FF" w:rsidRDefault="00523AA2" w:rsidP="00E517FF">
      <w:pPr>
        <w:pStyle w:val="BodyTextIndent"/>
        <w:ind w:left="0"/>
        <w:rPr>
          <w:rFonts w:asciiTheme="minorHAnsi" w:hAnsiTheme="minorHAnsi" w:cstheme="minorHAnsi"/>
          <w:sz w:val="21"/>
          <w:szCs w:val="21"/>
        </w:rPr>
      </w:pPr>
    </w:p>
    <w:p w14:paraId="22665B98" w14:textId="77777777" w:rsidR="00523AA2" w:rsidRPr="00E517FF" w:rsidRDefault="00523AA2" w:rsidP="00E517FF">
      <w:pPr>
        <w:pStyle w:val="Heading1"/>
        <w:numPr>
          <w:ilvl w:val="0"/>
          <w:numId w:val="1"/>
        </w:numPr>
        <w:spacing w:after="120"/>
        <w:rPr>
          <w:rFonts w:asciiTheme="minorHAnsi" w:hAnsiTheme="minorHAnsi" w:cstheme="minorHAnsi"/>
          <w:sz w:val="21"/>
          <w:szCs w:val="21"/>
        </w:rPr>
      </w:pPr>
      <w:r w:rsidRPr="00E517FF">
        <w:rPr>
          <w:rFonts w:asciiTheme="minorHAnsi" w:hAnsiTheme="minorHAnsi" w:cstheme="minorHAnsi"/>
          <w:sz w:val="21"/>
          <w:szCs w:val="21"/>
        </w:rPr>
        <w:t>OBJECTIVE</w:t>
      </w:r>
    </w:p>
    <w:p w14:paraId="4BD4A472" w14:textId="074E6CEB" w:rsidR="00E517FF" w:rsidRPr="00E517FF" w:rsidRDefault="00523AA2" w:rsidP="00E517FF">
      <w:pPr>
        <w:pStyle w:val="BodyTextIndent"/>
        <w:ind w:left="360"/>
        <w:jc w:val="both"/>
        <w:rPr>
          <w:rFonts w:asciiTheme="minorHAnsi" w:hAnsiTheme="minorHAnsi" w:cstheme="minorHAnsi"/>
          <w:noProof/>
          <w:sz w:val="21"/>
          <w:szCs w:val="21"/>
        </w:rPr>
      </w:pPr>
      <w:r w:rsidRPr="00E517FF">
        <w:rPr>
          <w:rFonts w:asciiTheme="minorHAnsi" w:hAnsiTheme="minorHAnsi" w:cstheme="minorHAnsi"/>
          <w:sz w:val="21"/>
          <w:szCs w:val="21"/>
        </w:rPr>
        <w:t>This investment strategy of</w:t>
      </w:r>
      <w:r w:rsidR="00CB5A53" w:rsidRPr="00E517FF">
        <w:rPr>
          <w:rFonts w:asciiTheme="minorHAnsi" w:hAnsiTheme="minorHAnsi" w:cstheme="minorHAnsi"/>
          <w:sz w:val="21"/>
          <w:szCs w:val="21"/>
        </w:rPr>
        <w:t xml:space="preserve"> the </w:t>
      </w:r>
      <w:r w:rsidR="002570C7">
        <w:rPr>
          <w:rFonts w:asciiTheme="minorHAnsi" w:hAnsiTheme="minorHAnsi" w:cstheme="minorHAnsi"/>
          <w:sz w:val="21"/>
          <w:szCs w:val="21"/>
        </w:rPr>
        <w:t>Danny Wong Super Fund</w:t>
      </w:r>
      <w:r w:rsidR="00CB5A53" w:rsidRPr="00E517FF">
        <w:rPr>
          <w:rFonts w:asciiTheme="minorHAnsi" w:hAnsiTheme="minorHAnsi" w:cstheme="minorHAnsi"/>
          <w:sz w:val="21"/>
          <w:szCs w:val="21"/>
        </w:rPr>
        <w:t xml:space="preserve"> (</w:t>
      </w:r>
      <w:r w:rsidRPr="00E517FF">
        <w:rPr>
          <w:rFonts w:asciiTheme="minorHAnsi" w:eastAsia="Calibri" w:hAnsiTheme="minorHAnsi" w:cstheme="minorHAnsi"/>
          <w:sz w:val="21"/>
          <w:szCs w:val="21"/>
        </w:rPr>
        <w:t>“</w:t>
      </w:r>
      <w:r w:rsidRPr="00E517FF">
        <w:rPr>
          <w:rFonts w:asciiTheme="minorHAnsi" w:eastAsia="Calibri" w:hAnsiTheme="minorHAnsi" w:cstheme="minorHAnsi"/>
          <w:b/>
          <w:bCs/>
          <w:sz w:val="21"/>
          <w:szCs w:val="21"/>
        </w:rPr>
        <w:t>Fund</w:t>
      </w:r>
      <w:r w:rsidRPr="00E517FF">
        <w:rPr>
          <w:rFonts w:asciiTheme="minorHAnsi" w:eastAsia="Calibri" w:hAnsiTheme="minorHAnsi" w:cstheme="minorHAnsi"/>
          <w:sz w:val="21"/>
          <w:szCs w:val="21"/>
        </w:rPr>
        <w:t>”)</w:t>
      </w:r>
      <w:r w:rsidRPr="00E517FF">
        <w:rPr>
          <w:rFonts w:asciiTheme="minorHAnsi" w:hAnsiTheme="minorHAnsi" w:cstheme="minorHAnsi"/>
          <w:sz w:val="21"/>
          <w:szCs w:val="21"/>
        </w:rPr>
        <w:t xml:space="preserve"> (as amended from time to </w:t>
      </w:r>
      <w:r w:rsidRPr="00E517FF">
        <w:rPr>
          <w:rFonts w:asciiTheme="minorHAnsi" w:hAnsiTheme="minorHAnsi" w:cstheme="minorHAnsi"/>
          <w:noProof/>
          <w:sz w:val="21"/>
          <w:szCs w:val="21"/>
        </w:rPr>
        <w:t>time) is created in compliance with the SIS Act.</w:t>
      </w:r>
    </w:p>
    <w:p w14:paraId="37B5752B" w14:textId="77777777" w:rsidR="00E517FF" w:rsidRPr="00E517FF" w:rsidRDefault="00523AA2" w:rsidP="00E517FF">
      <w:pPr>
        <w:pStyle w:val="BodyTextIndent"/>
        <w:numPr>
          <w:ilvl w:val="0"/>
          <w:numId w:val="1"/>
        </w:numPr>
        <w:jc w:val="both"/>
        <w:rPr>
          <w:rFonts w:asciiTheme="minorHAnsi" w:hAnsiTheme="minorHAnsi" w:cstheme="minorHAnsi"/>
          <w:b/>
          <w:noProof/>
          <w:sz w:val="21"/>
          <w:szCs w:val="21"/>
        </w:rPr>
      </w:pPr>
      <w:r w:rsidRPr="00E517FF">
        <w:rPr>
          <w:rFonts w:asciiTheme="minorHAnsi" w:hAnsiTheme="minorHAnsi" w:cstheme="minorHAnsi"/>
          <w:b/>
          <w:noProof/>
          <w:sz w:val="21"/>
          <w:szCs w:val="21"/>
        </w:rPr>
        <w:t>THE FUND</w:t>
      </w:r>
    </w:p>
    <w:p w14:paraId="475CBE99" w14:textId="77777777" w:rsidR="00523AA2" w:rsidRPr="00E517FF" w:rsidRDefault="00523AA2" w:rsidP="00E517FF">
      <w:pPr>
        <w:pStyle w:val="BodyTextIndent"/>
        <w:numPr>
          <w:ilvl w:val="2"/>
          <w:numId w:val="1"/>
        </w:numPr>
        <w:ind w:left="709"/>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The Fund: </w:t>
      </w:r>
    </w:p>
    <w:p w14:paraId="4C08D477" w14:textId="77777777" w:rsidR="00523AA2" w:rsidRPr="00E517FF" w:rsidRDefault="00523AA2" w:rsidP="00E517FF">
      <w:pPr>
        <w:pStyle w:val="BodyTextIndent"/>
        <w:numPr>
          <w:ilvl w:val="4"/>
          <w:numId w:val="1"/>
        </w:numPr>
        <w:ind w:left="1134"/>
        <w:jc w:val="both"/>
        <w:rPr>
          <w:rFonts w:asciiTheme="minorHAnsi" w:hAnsiTheme="minorHAnsi" w:cstheme="minorHAnsi"/>
          <w:noProof/>
          <w:sz w:val="21"/>
          <w:szCs w:val="21"/>
        </w:rPr>
      </w:pPr>
      <w:r w:rsidRPr="00E517FF">
        <w:rPr>
          <w:rFonts w:asciiTheme="minorHAnsi" w:hAnsiTheme="minorHAnsi" w:cstheme="minorHAnsi"/>
          <w:noProof/>
          <w:sz w:val="21"/>
          <w:szCs w:val="21"/>
        </w:rPr>
        <w:t>accepts employer and member contribution and contributions from other persons as the laws allow;</w:t>
      </w:r>
    </w:p>
    <w:p w14:paraId="09CBADC1" w14:textId="77777777" w:rsidR="00523AA2" w:rsidRPr="00E517FF" w:rsidRDefault="00523AA2" w:rsidP="00E517FF">
      <w:pPr>
        <w:pStyle w:val="BodyTextIndent"/>
        <w:numPr>
          <w:ilvl w:val="4"/>
          <w:numId w:val="1"/>
        </w:numPr>
        <w:ind w:left="1134"/>
        <w:jc w:val="both"/>
        <w:rPr>
          <w:rFonts w:asciiTheme="minorHAnsi" w:hAnsiTheme="minorHAnsi" w:cstheme="minorHAnsi"/>
          <w:noProof/>
          <w:sz w:val="21"/>
          <w:szCs w:val="21"/>
        </w:rPr>
      </w:pPr>
      <w:r w:rsidRPr="00E517FF">
        <w:rPr>
          <w:rFonts w:asciiTheme="minorHAnsi" w:hAnsiTheme="minorHAnsi" w:cstheme="minorHAnsi"/>
          <w:noProof/>
          <w:sz w:val="21"/>
          <w:szCs w:val="21"/>
        </w:rPr>
        <w:t>transfers from other superannuation funds and from a spouse as the laws allow;</w:t>
      </w:r>
    </w:p>
    <w:p w14:paraId="65D57464" w14:textId="77777777" w:rsidR="00523AA2" w:rsidRPr="00E517FF" w:rsidRDefault="00523AA2" w:rsidP="00E517FF">
      <w:pPr>
        <w:pStyle w:val="BodyTextIndent"/>
        <w:numPr>
          <w:ilvl w:val="4"/>
          <w:numId w:val="1"/>
        </w:numPr>
        <w:ind w:left="1134"/>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provides benefits to members upon retirement as the laws allow; </w:t>
      </w:r>
    </w:p>
    <w:p w14:paraId="48DF11C5" w14:textId="77777777" w:rsidR="00523AA2" w:rsidRPr="00E517FF" w:rsidRDefault="00523AA2" w:rsidP="00E517FF">
      <w:pPr>
        <w:pStyle w:val="BodyTextIndent"/>
        <w:numPr>
          <w:ilvl w:val="4"/>
          <w:numId w:val="1"/>
        </w:numPr>
        <w:ind w:left="1134"/>
        <w:jc w:val="both"/>
        <w:rPr>
          <w:rFonts w:asciiTheme="minorHAnsi" w:hAnsiTheme="minorHAnsi" w:cstheme="minorHAnsi"/>
          <w:noProof/>
          <w:sz w:val="21"/>
          <w:szCs w:val="21"/>
        </w:rPr>
      </w:pPr>
      <w:r w:rsidRPr="00E517FF">
        <w:rPr>
          <w:rFonts w:asciiTheme="minorHAnsi" w:hAnsiTheme="minorHAnsi" w:cstheme="minorHAnsi"/>
          <w:noProof/>
          <w:sz w:val="21"/>
          <w:szCs w:val="21"/>
        </w:rPr>
        <w:t>provides other activities as allowed by the laws and regulations from time to time;</w:t>
      </w:r>
    </w:p>
    <w:p w14:paraId="30B98C8E" w14:textId="77777777" w:rsidR="00523AA2" w:rsidRPr="00E517FF" w:rsidRDefault="00523AA2" w:rsidP="00E517FF">
      <w:pPr>
        <w:pStyle w:val="BodyTextIndent"/>
        <w:numPr>
          <w:ilvl w:val="4"/>
          <w:numId w:val="1"/>
        </w:numPr>
        <w:ind w:left="1134"/>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allows access to any unrestricted non-preserved benefits (as/when allowed by the laws and regulations); and </w:t>
      </w:r>
    </w:p>
    <w:p w14:paraId="59520331" w14:textId="77777777" w:rsidR="00523AA2" w:rsidRPr="00E517FF" w:rsidRDefault="00523AA2" w:rsidP="00E517FF">
      <w:pPr>
        <w:pStyle w:val="BodyTextIndent"/>
        <w:numPr>
          <w:ilvl w:val="4"/>
          <w:numId w:val="1"/>
        </w:numPr>
        <w:ind w:left="1134"/>
        <w:jc w:val="both"/>
        <w:rPr>
          <w:rFonts w:asciiTheme="minorHAnsi" w:hAnsiTheme="minorHAnsi" w:cstheme="minorHAnsi"/>
          <w:noProof/>
          <w:sz w:val="21"/>
          <w:szCs w:val="21"/>
        </w:rPr>
      </w:pPr>
      <w:r w:rsidRPr="00E517FF">
        <w:rPr>
          <w:rFonts w:asciiTheme="minorHAnsi" w:hAnsiTheme="minorHAnsi" w:cstheme="minorHAnsi"/>
          <w:noProof/>
          <w:sz w:val="21"/>
          <w:szCs w:val="21"/>
        </w:rPr>
        <w:t>provides for the payment of pension benefits at a rate as determined in the future from time to time.</w:t>
      </w:r>
    </w:p>
    <w:p w14:paraId="3A516650" w14:textId="77777777" w:rsidR="00523AA2" w:rsidRPr="00E517FF" w:rsidRDefault="00523AA2" w:rsidP="00E517FF">
      <w:pPr>
        <w:pStyle w:val="BodyTextIndent"/>
        <w:numPr>
          <w:ilvl w:val="2"/>
          <w:numId w:val="1"/>
        </w:numPr>
        <w:ind w:left="709" w:hanging="142"/>
        <w:jc w:val="both"/>
        <w:rPr>
          <w:rFonts w:asciiTheme="minorHAnsi" w:hAnsiTheme="minorHAnsi" w:cstheme="minorHAnsi"/>
          <w:noProof/>
          <w:sz w:val="21"/>
          <w:szCs w:val="21"/>
        </w:rPr>
      </w:pPr>
      <w:r w:rsidRPr="00E517FF">
        <w:rPr>
          <w:rFonts w:asciiTheme="minorHAnsi" w:hAnsiTheme="minorHAnsi" w:cstheme="minorHAnsi"/>
          <w:noProof/>
          <w:sz w:val="21"/>
          <w:szCs w:val="21"/>
        </w:rPr>
        <w:t>The Fund complies with the current laws and regulations and the rules in the trust deed. It has the following investment objectives:</w:t>
      </w:r>
    </w:p>
    <w:p w14:paraId="5FCEDA09" w14:textId="77777777" w:rsidR="00523AA2" w:rsidRPr="00E517FF" w:rsidRDefault="00523AA2" w:rsidP="00E517FF">
      <w:pPr>
        <w:pStyle w:val="BodyTextIndent"/>
        <w:numPr>
          <w:ilvl w:val="4"/>
          <w:numId w:val="1"/>
        </w:numPr>
        <w:tabs>
          <w:tab w:val="left" w:pos="2410"/>
        </w:tabs>
        <w:ind w:left="1134"/>
        <w:jc w:val="both"/>
        <w:rPr>
          <w:rFonts w:asciiTheme="minorHAnsi" w:hAnsiTheme="minorHAnsi" w:cstheme="minorHAnsi"/>
          <w:noProof/>
          <w:sz w:val="21"/>
          <w:szCs w:val="21"/>
        </w:rPr>
      </w:pPr>
      <w:r w:rsidRPr="00E517FF">
        <w:rPr>
          <w:rFonts w:asciiTheme="minorHAnsi" w:hAnsiTheme="minorHAnsi" w:cstheme="minorHAnsi"/>
          <w:noProof/>
          <w:sz w:val="21"/>
          <w:szCs w:val="21"/>
        </w:rPr>
        <w:t>Risk and Rate of Return</w:t>
      </w:r>
    </w:p>
    <w:p w14:paraId="1D8F7658" w14:textId="77777777" w:rsidR="00523AA2" w:rsidRPr="00E517FF" w:rsidRDefault="00523AA2" w:rsidP="00E517FF">
      <w:pPr>
        <w:pStyle w:val="BodyTextIndent"/>
        <w:numPr>
          <w:ilvl w:val="5"/>
          <w:numId w:val="1"/>
        </w:numPr>
        <w:ind w:left="1418"/>
        <w:jc w:val="both"/>
        <w:rPr>
          <w:rFonts w:asciiTheme="minorHAnsi" w:hAnsiTheme="minorHAnsi" w:cstheme="minorHAnsi"/>
          <w:noProof/>
          <w:sz w:val="21"/>
          <w:szCs w:val="21"/>
        </w:rPr>
      </w:pPr>
      <w:r w:rsidRPr="00E517FF">
        <w:rPr>
          <w:rFonts w:asciiTheme="minorHAnsi" w:hAnsiTheme="minorHAnsi" w:cstheme="minorHAnsi"/>
          <w:noProof/>
          <w:sz w:val="21"/>
          <w:szCs w:val="21"/>
        </w:rPr>
        <w:t>It is recognised that timing (when you get into the investment) and time in the investment (how long you are in the investment) affects returns. Different investments have different returns and volatility.</w:t>
      </w:r>
    </w:p>
    <w:p w14:paraId="23BBD71A" w14:textId="77777777" w:rsidR="00523AA2" w:rsidRPr="00E517FF" w:rsidRDefault="00523AA2" w:rsidP="00E517FF">
      <w:pPr>
        <w:pStyle w:val="BodyTextIndent"/>
        <w:numPr>
          <w:ilvl w:val="5"/>
          <w:numId w:val="1"/>
        </w:numPr>
        <w:ind w:left="1418"/>
        <w:jc w:val="both"/>
        <w:rPr>
          <w:rFonts w:asciiTheme="minorHAnsi" w:hAnsiTheme="minorHAnsi" w:cstheme="minorHAnsi"/>
          <w:noProof/>
          <w:sz w:val="21"/>
          <w:szCs w:val="21"/>
        </w:rPr>
      </w:pPr>
      <w:r w:rsidRPr="00E517FF">
        <w:rPr>
          <w:rFonts w:asciiTheme="minorHAnsi" w:hAnsiTheme="minorHAnsi" w:cstheme="minorHAnsi"/>
          <w:noProof/>
          <w:sz w:val="21"/>
          <w:szCs w:val="21"/>
        </w:rPr>
        <w:t>The trustee (from time to time) of the Fund (“Trustee”) has a strong emphasis on preserving the Fund’s capital. However, many sound investments are not capital guaranteed.</w:t>
      </w:r>
    </w:p>
    <w:p w14:paraId="7837BEB5" w14:textId="77777777" w:rsidR="00523AA2" w:rsidRPr="00E517FF" w:rsidRDefault="00523AA2" w:rsidP="00E517FF">
      <w:pPr>
        <w:pStyle w:val="BodyTextIndent"/>
        <w:numPr>
          <w:ilvl w:val="5"/>
          <w:numId w:val="1"/>
        </w:numPr>
        <w:ind w:left="1418"/>
        <w:jc w:val="both"/>
        <w:rPr>
          <w:rFonts w:asciiTheme="minorHAnsi" w:hAnsiTheme="minorHAnsi" w:cstheme="minorHAnsi"/>
          <w:noProof/>
          <w:sz w:val="21"/>
          <w:szCs w:val="21"/>
        </w:rPr>
      </w:pPr>
      <w:r w:rsidRPr="00E517FF">
        <w:rPr>
          <w:rFonts w:asciiTheme="minorHAnsi" w:hAnsiTheme="minorHAnsi" w:cstheme="minorHAnsi"/>
          <w:noProof/>
          <w:sz w:val="21"/>
          <w:szCs w:val="21"/>
        </w:rPr>
        <w:t>Security of capital has to be tempered with the need to achieve the desired rate of return. Therefore, assets that show volatility may be of benefit to the Fund.</w:t>
      </w:r>
    </w:p>
    <w:p w14:paraId="0D9C23C9" w14:textId="77777777" w:rsidR="00523AA2" w:rsidRPr="00E517FF" w:rsidRDefault="00523AA2" w:rsidP="00E517FF">
      <w:pPr>
        <w:pStyle w:val="BodyTextIndent"/>
        <w:numPr>
          <w:ilvl w:val="5"/>
          <w:numId w:val="1"/>
        </w:numPr>
        <w:ind w:left="1418"/>
        <w:jc w:val="both"/>
        <w:rPr>
          <w:rFonts w:asciiTheme="minorHAnsi" w:hAnsiTheme="minorHAnsi" w:cstheme="minorHAnsi"/>
          <w:noProof/>
          <w:sz w:val="21"/>
          <w:szCs w:val="21"/>
        </w:rPr>
      </w:pPr>
      <w:r w:rsidRPr="00E517FF">
        <w:rPr>
          <w:rFonts w:asciiTheme="minorHAnsi" w:hAnsiTheme="minorHAnsi" w:cstheme="minorHAnsi"/>
          <w:noProof/>
          <w:sz w:val="21"/>
          <w:szCs w:val="21"/>
        </w:rPr>
        <w:t>The Trustee is ever vigilant to balance these two objectives: protecting the capital and growing the value of the Fund by obtaining an acceptable rate of return.</w:t>
      </w:r>
    </w:p>
    <w:p w14:paraId="3A159D94" w14:textId="77777777" w:rsidR="00523AA2" w:rsidRPr="00E517FF" w:rsidRDefault="00523AA2" w:rsidP="00E517FF">
      <w:pPr>
        <w:pStyle w:val="BodyTextIndent"/>
        <w:numPr>
          <w:ilvl w:val="4"/>
          <w:numId w:val="1"/>
        </w:numPr>
        <w:ind w:left="1134"/>
        <w:jc w:val="both"/>
        <w:rPr>
          <w:rFonts w:asciiTheme="minorHAnsi" w:hAnsiTheme="minorHAnsi" w:cstheme="minorHAnsi"/>
          <w:noProof/>
          <w:sz w:val="21"/>
          <w:szCs w:val="21"/>
        </w:rPr>
      </w:pPr>
      <w:r w:rsidRPr="00E517FF">
        <w:rPr>
          <w:rFonts w:asciiTheme="minorHAnsi" w:hAnsiTheme="minorHAnsi" w:cstheme="minorHAnsi"/>
          <w:noProof/>
          <w:sz w:val="21"/>
          <w:szCs w:val="21"/>
        </w:rPr>
        <w:t>Reserving Accounts</w:t>
      </w:r>
    </w:p>
    <w:p w14:paraId="6A4AFC26" w14:textId="77777777" w:rsidR="00523AA2" w:rsidRPr="00E517FF" w:rsidRDefault="00523AA2" w:rsidP="00E517FF">
      <w:pPr>
        <w:pStyle w:val="BodyTextIndent"/>
        <w:numPr>
          <w:ilvl w:val="5"/>
          <w:numId w:val="1"/>
        </w:numPr>
        <w:ind w:left="1418"/>
        <w:jc w:val="both"/>
        <w:rPr>
          <w:rFonts w:asciiTheme="minorHAnsi" w:hAnsiTheme="minorHAnsi" w:cstheme="minorHAnsi"/>
          <w:noProof/>
          <w:sz w:val="21"/>
          <w:szCs w:val="21"/>
        </w:rPr>
      </w:pPr>
      <w:r w:rsidRPr="00E517FF">
        <w:rPr>
          <w:rFonts w:asciiTheme="minorHAnsi" w:hAnsiTheme="minorHAnsi" w:cstheme="minorHAnsi"/>
          <w:noProof/>
          <w:sz w:val="21"/>
          <w:szCs w:val="21"/>
        </w:rPr>
        <w:t>Prudential management requires that a strategy be put in place so that the Trustee has the ability to pay its liabilities and obligations, whether contingent or actual, as and when they fall due. They can be paid to either members or for paying the expenses of the Fund.</w:t>
      </w:r>
    </w:p>
    <w:p w14:paraId="59B81F49" w14:textId="77777777" w:rsidR="00523AA2" w:rsidRPr="00E517FF" w:rsidRDefault="00523AA2" w:rsidP="00E517FF">
      <w:pPr>
        <w:pStyle w:val="BodyTextIndent"/>
        <w:numPr>
          <w:ilvl w:val="5"/>
          <w:numId w:val="1"/>
        </w:numPr>
        <w:ind w:left="1418"/>
        <w:jc w:val="both"/>
        <w:rPr>
          <w:rFonts w:asciiTheme="minorHAnsi" w:hAnsiTheme="minorHAnsi" w:cstheme="minorHAnsi"/>
          <w:noProof/>
          <w:sz w:val="21"/>
          <w:szCs w:val="21"/>
        </w:rPr>
      </w:pPr>
      <w:r w:rsidRPr="00E517FF">
        <w:rPr>
          <w:rFonts w:asciiTheme="minorHAnsi" w:hAnsiTheme="minorHAnsi" w:cstheme="minorHAnsi"/>
          <w:noProof/>
          <w:sz w:val="21"/>
          <w:szCs w:val="21"/>
        </w:rPr>
        <w:t>From time to time the Trustee is at liberty to put in place reserve accounts, in accordance with the deed for any classes including these categories:</w:t>
      </w:r>
    </w:p>
    <w:p w14:paraId="0795196D" w14:textId="77777777" w:rsidR="00523AA2" w:rsidRPr="00E517FF" w:rsidRDefault="00523AA2" w:rsidP="00E517FF">
      <w:pPr>
        <w:pStyle w:val="BodyTextIndent"/>
        <w:numPr>
          <w:ilvl w:val="6"/>
          <w:numId w:val="1"/>
        </w:numPr>
        <w:ind w:left="1843"/>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investment (it can also hold undistributed investment income and income above the Fund’s required return); </w:t>
      </w:r>
    </w:p>
    <w:p w14:paraId="7DFD1F45" w14:textId="77777777" w:rsidR="00523AA2" w:rsidRPr="00E517FF" w:rsidRDefault="00523AA2" w:rsidP="00E517FF">
      <w:pPr>
        <w:pStyle w:val="BodyTextIndent"/>
        <w:numPr>
          <w:ilvl w:val="6"/>
          <w:numId w:val="1"/>
        </w:numPr>
        <w:ind w:left="1843"/>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contributions (such as an unallocated contribution made by an employer on behalf of a group of employees); and </w:t>
      </w:r>
    </w:p>
    <w:p w14:paraId="72A58E81" w14:textId="77777777" w:rsidR="00523AA2" w:rsidRPr="00E517FF" w:rsidRDefault="00523AA2" w:rsidP="00E517FF">
      <w:pPr>
        <w:pStyle w:val="BodyTextIndent"/>
        <w:numPr>
          <w:ilvl w:val="6"/>
          <w:numId w:val="1"/>
        </w:numPr>
        <w:ind w:left="1843"/>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miscellaneous (these include pre 12 May 2004 forgone and forfeited benefits, plus expenses and other legal provisions). </w:t>
      </w:r>
    </w:p>
    <w:p w14:paraId="5458CF31" w14:textId="77777777" w:rsidR="00523AA2" w:rsidRPr="00E517FF" w:rsidRDefault="00523AA2" w:rsidP="00E517FF">
      <w:pPr>
        <w:pStyle w:val="BodyTextIndent"/>
        <w:numPr>
          <w:ilvl w:val="5"/>
          <w:numId w:val="1"/>
        </w:numPr>
        <w:ind w:left="1418"/>
        <w:jc w:val="both"/>
        <w:rPr>
          <w:rFonts w:asciiTheme="minorHAnsi" w:hAnsiTheme="minorHAnsi" w:cstheme="minorHAnsi"/>
          <w:noProof/>
          <w:sz w:val="21"/>
          <w:szCs w:val="21"/>
        </w:rPr>
      </w:pPr>
      <w:r w:rsidRPr="00E517FF">
        <w:rPr>
          <w:rFonts w:asciiTheme="minorHAnsi" w:hAnsiTheme="minorHAnsi" w:cstheme="minorHAnsi"/>
          <w:noProof/>
          <w:sz w:val="21"/>
          <w:szCs w:val="21"/>
        </w:rPr>
        <w:t>The Trustee is also at liberty to create a separate and additional investment strategy for reserving for each type of Fund reserve.</w:t>
      </w:r>
    </w:p>
    <w:p w14:paraId="6E116D07" w14:textId="77777777" w:rsidR="00523AA2" w:rsidRPr="00E517FF" w:rsidRDefault="00523AA2" w:rsidP="00E517FF">
      <w:pPr>
        <w:pStyle w:val="BodyTextIndent"/>
        <w:numPr>
          <w:ilvl w:val="5"/>
          <w:numId w:val="1"/>
        </w:numPr>
        <w:ind w:left="1418"/>
        <w:jc w:val="both"/>
        <w:rPr>
          <w:rFonts w:asciiTheme="minorHAnsi" w:hAnsiTheme="minorHAnsi" w:cstheme="minorHAnsi"/>
          <w:noProof/>
          <w:sz w:val="21"/>
          <w:szCs w:val="21"/>
        </w:rPr>
      </w:pPr>
      <w:r w:rsidRPr="00E517FF">
        <w:rPr>
          <w:rFonts w:asciiTheme="minorHAnsi" w:hAnsiTheme="minorHAnsi" w:cstheme="minorHAnsi"/>
          <w:noProof/>
          <w:sz w:val="21"/>
          <w:szCs w:val="21"/>
        </w:rPr>
        <w:t>These can be for any lawful purpose including, smoothing returns, advisory fees, accounting fees, taxes, surcharge liabilities, life and disabled insurance premiums, death and disability payments and any purposes set out in Australian Tax Offices’ Superannuation Contributions Ruling 1999/1.</w:t>
      </w:r>
    </w:p>
    <w:p w14:paraId="2D90AAC4" w14:textId="77777777" w:rsidR="00523AA2" w:rsidRPr="00E517FF" w:rsidRDefault="00523AA2" w:rsidP="00E517FF">
      <w:pPr>
        <w:pStyle w:val="BodyTextIndent"/>
        <w:numPr>
          <w:ilvl w:val="5"/>
          <w:numId w:val="1"/>
        </w:numPr>
        <w:ind w:left="1418"/>
        <w:jc w:val="both"/>
        <w:rPr>
          <w:rFonts w:asciiTheme="minorHAnsi" w:hAnsiTheme="minorHAnsi" w:cstheme="minorHAnsi"/>
          <w:noProof/>
          <w:sz w:val="21"/>
          <w:szCs w:val="21"/>
        </w:rPr>
      </w:pPr>
      <w:r w:rsidRPr="00E517FF">
        <w:rPr>
          <w:rFonts w:asciiTheme="minorHAnsi" w:hAnsiTheme="minorHAnsi" w:cstheme="minorHAnsi"/>
          <w:noProof/>
          <w:sz w:val="21"/>
          <w:szCs w:val="21"/>
        </w:rPr>
        <w:t>The Trustee is at liberty under section 55(6) of the SIS Act to defend against any loss or damage suffered by a member because the reserves were managed in accordance with section 52(g)(2) of the SIS Act.</w:t>
      </w:r>
    </w:p>
    <w:p w14:paraId="21F3F98C" w14:textId="77777777" w:rsidR="00523AA2" w:rsidRPr="00E517FF" w:rsidRDefault="00523AA2" w:rsidP="00E517FF">
      <w:pPr>
        <w:pStyle w:val="BodyTextIndent"/>
        <w:numPr>
          <w:ilvl w:val="0"/>
          <w:numId w:val="1"/>
        </w:numPr>
        <w:jc w:val="both"/>
        <w:rPr>
          <w:rFonts w:asciiTheme="minorHAnsi" w:hAnsiTheme="minorHAnsi" w:cstheme="minorHAnsi"/>
          <w:b/>
          <w:noProof/>
          <w:sz w:val="21"/>
          <w:szCs w:val="21"/>
        </w:rPr>
      </w:pPr>
      <w:r w:rsidRPr="00E517FF">
        <w:rPr>
          <w:rFonts w:asciiTheme="minorHAnsi" w:hAnsiTheme="minorHAnsi" w:cstheme="minorHAnsi"/>
          <w:b/>
          <w:noProof/>
          <w:sz w:val="21"/>
          <w:szCs w:val="21"/>
        </w:rPr>
        <w:lastRenderedPageBreak/>
        <w:t>REQUIRED RATE OF RETURN</w:t>
      </w:r>
    </w:p>
    <w:p w14:paraId="27B92942" w14:textId="77777777" w:rsidR="00523AA2" w:rsidRPr="00E517FF" w:rsidRDefault="00523AA2" w:rsidP="00E517FF">
      <w:pPr>
        <w:pStyle w:val="BodyTextIndent"/>
        <w:ind w:left="720"/>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The Trustee seeks an overall investment return for the Fund in the 3-5 year term (medium term) of 3% above the average rate of inflation over that period. An investment can be for capital growth only, income only or a combination. </w:t>
      </w:r>
    </w:p>
    <w:p w14:paraId="057081B4" w14:textId="77777777" w:rsidR="00523AA2" w:rsidRPr="00E517FF" w:rsidRDefault="00523AA2" w:rsidP="00E517FF">
      <w:pPr>
        <w:pStyle w:val="BodyTextIndent"/>
        <w:numPr>
          <w:ilvl w:val="0"/>
          <w:numId w:val="1"/>
        </w:numPr>
        <w:jc w:val="both"/>
        <w:rPr>
          <w:rFonts w:asciiTheme="minorHAnsi" w:hAnsiTheme="minorHAnsi" w:cstheme="minorHAnsi"/>
          <w:b/>
          <w:noProof/>
          <w:sz w:val="21"/>
          <w:szCs w:val="21"/>
        </w:rPr>
      </w:pPr>
      <w:r w:rsidRPr="00E517FF">
        <w:rPr>
          <w:rFonts w:asciiTheme="minorHAnsi" w:hAnsiTheme="minorHAnsi" w:cstheme="minorHAnsi"/>
          <w:b/>
          <w:noProof/>
          <w:sz w:val="21"/>
          <w:szCs w:val="21"/>
        </w:rPr>
        <w:t>TRUSTEE’S OBLIGATIONS</w:t>
      </w:r>
    </w:p>
    <w:p w14:paraId="482C76C2" w14:textId="77777777" w:rsidR="00523AA2" w:rsidRPr="00E517FF" w:rsidRDefault="00523AA2" w:rsidP="00E517FF">
      <w:pPr>
        <w:pStyle w:val="BodyTextIndent"/>
        <w:numPr>
          <w:ilvl w:val="2"/>
          <w:numId w:val="1"/>
        </w:numPr>
        <w:ind w:left="993" w:hanging="142"/>
        <w:jc w:val="both"/>
        <w:rPr>
          <w:rFonts w:asciiTheme="minorHAnsi" w:hAnsiTheme="minorHAnsi" w:cstheme="minorHAnsi"/>
          <w:noProof/>
          <w:sz w:val="21"/>
          <w:szCs w:val="21"/>
        </w:rPr>
      </w:pPr>
      <w:r w:rsidRPr="00E517FF">
        <w:rPr>
          <w:rFonts w:asciiTheme="minorHAnsi" w:hAnsiTheme="minorHAnsi" w:cstheme="minorHAnsi"/>
          <w:noProof/>
          <w:sz w:val="21"/>
          <w:szCs w:val="21"/>
        </w:rPr>
        <w:t>The Trustee ensures that the Fund meets the legislated standard minimums to continue to obtain concessional taxation status on the income.</w:t>
      </w:r>
    </w:p>
    <w:p w14:paraId="6CD4DC4C" w14:textId="77777777" w:rsidR="00523AA2" w:rsidRPr="00E517FF" w:rsidRDefault="00523AA2" w:rsidP="00E517FF">
      <w:pPr>
        <w:pStyle w:val="BodyTextIndent"/>
        <w:numPr>
          <w:ilvl w:val="2"/>
          <w:numId w:val="1"/>
        </w:numPr>
        <w:ind w:left="993" w:hanging="142"/>
        <w:jc w:val="both"/>
        <w:rPr>
          <w:rFonts w:asciiTheme="minorHAnsi" w:hAnsiTheme="minorHAnsi" w:cstheme="minorHAnsi"/>
          <w:noProof/>
          <w:sz w:val="21"/>
          <w:szCs w:val="21"/>
        </w:rPr>
      </w:pPr>
      <w:r w:rsidRPr="00E517FF">
        <w:rPr>
          <w:rFonts w:asciiTheme="minorHAnsi" w:hAnsiTheme="minorHAnsi" w:cstheme="minorHAnsi"/>
          <w:noProof/>
          <w:sz w:val="21"/>
          <w:szCs w:val="21"/>
        </w:rPr>
        <w:t>It is also incumbent on the Trustee to consider the tax consequences of all investments. Tax-advantaged products may reduce the Fund’s taxation burden. Tax is one of the Trustee’s relevant concerns.</w:t>
      </w:r>
    </w:p>
    <w:p w14:paraId="3D14380F" w14:textId="77777777" w:rsidR="00523AA2" w:rsidRPr="00E517FF" w:rsidRDefault="00523AA2" w:rsidP="00E517FF">
      <w:pPr>
        <w:pStyle w:val="BodyTextIndent"/>
        <w:numPr>
          <w:ilvl w:val="2"/>
          <w:numId w:val="1"/>
        </w:numPr>
        <w:ind w:left="993" w:hanging="142"/>
        <w:jc w:val="both"/>
        <w:rPr>
          <w:rFonts w:asciiTheme="minorHAnsi" w:hAnsiTheme="minorHAnsi" w:cstheme="minorHAnsi"/>
          <w:noProof/>
          <w:sz w:val="21"/>
          <w:szCs w:val="21"/>
        </w:rPr>
      </w:pPr>
      <w:r w:rsidRPr="00E517FF">
        <w:rPr>
          <w:rFonts w:asciiTheme="minorHAnsi" w:hAnsiTheme="minorHAnsi" w:cstheme="minorHAnsi"/>
          <w:noProof/>
          <w:sz w:val="21"/>
          <w:szCs w:val="21"/>
        </w:rPr>
        <w:t>The Trustee acknowledges that members’ benefits are a liability of the Fund. The Trustee gives thought to the level of benefit required to be paid to the member. However, while no terminations or benefits are expected to be paid out in the short to medium term, the Trustee is at liberty to examine investments that are medium term. However, when the member is in pension phase the time horizon may be far shorter.</w:t>
      </w:r>
    </w:p>
    <w:p w14:paraId="4BB77961" w14:textId="77777777" w:rsidR="00523AA2" w:rsidRPr="00E517FF" w:rsidRDefault="00523AA2" w:rsidP="00E517FF">
      <w:pPr>
        <w:pStyle w:val="BodyTextIndent"/>
        <w:numPr>
          <w:ilvl w:val="0"/>
          <w:numId w:val="1"/>
        </w:numPr>
        <w:jc w:val="both"/>
        <w:rPr>
          <w:rFonts w:asciiTheme="minorHAnsi" w:hAnsiTheme="minorHAnsi" w:cstheme="minorHAnsi"/>
          <w:b/>
          <w:noProof/>
          <w:sz w:val="21"/>
          <w:szCs w:val="21"/>
        </w:rPr>
      </w:pPr>
      <w:r w:rsidRPr="00E517FF">
        <w:rPr>
          <w:rFonts w:asciiTheme="minorHAnsi" w:hAnsiTheme="minorHAnsi" w:cstheme="minorHAnsi"/>
          <w:b/>
          <w:noProof/>
          <w:sz w:val="21"/>
          <w:szCs w:val="21"/>
        </w:rPr>
        <w:t>INVESTMENTS, METHODS AND STRUCTURES</w:t>
      </w:r>
    </w:p>
    <w:p w14:paraId="58B86796" w14:textId="77777777" w:rsidR="00523AA2" w:rsidRPr="00E517FF" w:rsidRDefault="00523AA2" w:rsidP="00E517FF">
      <w:pPr>
        <w:pStyle w:val="BodyTextIndent"/>
        <w:numPr>
          <w:ilvl w:val="2"/>
          <w:numId w:val="1"/>
        </w:numPr>
        <w:ind w:left="993"/>
        <w:jc w:val="both"/>
        <w:rPr>
          <w:rFonts w:asciiTheme="minorHAnsi" w:hAnsiTheme="minorHAnsi" w:cstheme="minorHAnsi"/>
          <w:b/>
          <w:noProof/>
          <w:sz w:val="21"/>
          <w:szCs w:val="21"/>
        </w:rPr>
      </w:pPr>
      <w:r w:rsidRPr="00E517FF">
        <w:rPr>
          <w:rFonts w:asciiTheme="minorHAnsi" w:hAnsiTheme="minorHAnsi" w:cstheme="minorHAnsi"/>
          <w:noProof/>
          <w:sz w:val="21"/>
          <w:szCs w:val="21"/>
        </w:rPr>
        <w:t xml:space="preserve">The Trustees may invest all or part of the money and other assets of the Fund in any manner in which they could if they were personally entitled as beneficial owners of those assets, under any circumstances and any terms, and in or through any business structure or any arrangement (including companies, joint ventures, partnerships and trusts - including unit, hybrid, family, discretionary) including: </w:t>
      </w:r>
    </w:p>
    <w:p w14:paraId="356ACE2B" w14:textId="77777777" w:rsidR="00523AA2" w:rsidRPr="00E517FF" w:rsidRDefault="00523AA2" w:rsidP="00E517FF">
      <w:pPr>
        <w:pStyle w:val="BodyTextIndent"/>
        <w:numPr>
          <w:ilvl w:val="4"/>
          <w:numId w:val="1"/>
        </w:numPr>
        <w:ind w:left="1418" w:hanging="425"/>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in insurance and any other type of insurance including trauma; </w:t>
      </w:r>
    </w:p>
    <w:p w14:paraId="5D7417F1" w14:textId="77777777" w:rsidR="00523AA2" w:rsidRPr="00E517FF" w:rsidRDefault="00523AA2" w:rsidP="00E517FF">
      <w:pPr>
        <w:pStyle w:val="BodyTextIndent"/>
        <w:numPr>
          <w:ilvl w:val="4"/>
          <w:numId w:val="1"/>
        </w:numPr>
        <w:ind w:left="1418" w:hanging="425"/>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in Trustee investments; </w:t>
      </w:r>
    </w:p>
    <w:p w14:paraId="49C76DF7" w14:textId="77777777" w:rsidR="00523AA2" w:rsidRPr="00E517FF" w:rsidRDefault="00523AA2" w:rsidP="00E517FF">
      <w:pPr>
        <w:pStyle w:val="BodyTextIndent"/>
        <w:numPr>
          <w:ilvl w:val="4"/>
          <w:numId w:val="1"/>
        </w:numPr>
        <w:ind w:left="1418" w:hanging="425"/>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in the purchase, improvement or mortgage of real property; </w:t>
      </w:r>
    </w:p>
    <w:p w14:paraId="02D26869" w14:textId="77777777" w:rsidR="00523AA2" w:rsidRPr="00E517FF" w:rsidRDefault="00523AA2" w:rsidP="00E517FF">
      <w:pPr>
        <w:pStyle w:val="BodyTextIndent"/>
        <w:numPr>
          <w:ilvl w:val="4"/>
          <w:numId w:val="1"/>
        </w:numPr>
        <w:ind w:left="1418" w:hanging="425"/>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on deposit with any bank or building society (and the power to open and close such accounts) or any other company partnership or person with or without security; </w:t>
      </w:r>
    </w:p>
    <w:p w14:paraId="5CFC4927" w14:textId="77777777" w:rsidR="00523AA2" w:rsidRPr="00E517FF" w:rsidRDefault="00523AA2" w:rsidP="00E517FF">
      <w:pPr>
        <w:pStyle w:val="BodyTextIndent"/>
        <w:numPr>
          <w:ilvl w:val="4"/>
          <w:numId w:val="1"/>
        </w:numPr>
        <w:ind w:left="1418" w:hanging="425"/>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in shares, stocks, options, debentures, bonds, unsecured notes or other securities; </w:t>
      </w:r>
    </w:p>
    <w:p w14:paraId="558F422C" w14:textId="77777777" w:rsidR="00523AA2" w:rsidRPr="00E517FF" w:rsidRDefault="00523AA2" w:rsidP="00E517FF">
      <w:pPr>
        <w:pStyle w:val="BodyTextIndent"/>
        <w:numPr>
          <w:ilvl w:val="4"/>
          <w:numId w:val="1"/>
        </w:numPr>
        <w:ind w:left="1418" w:hanging="425"/>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in units or sub-units of any unit trust including units in a pooled superannuation trust; </w:t>
      </w:r>
    </w:p>
    <w:p w14:paraId="73EA7D21" w14:textId="77777777" w:rsidR="00523AA2" w:rsidRPr="00E517FF" w:rsidRDefault="00523AA2" w:rsidP="00E517FF">
      <w:pPr>
        <w:pStyle w:val="BodyTextIndent"/>
        <w:numPr>
          <w:ilvl w:val="4"/>
          <w:numId w:val="1"/>
        </w:numPr>
        <w:ind w:left="1418" w:hanging="425"/>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in common funds, artworks, motor vehicles (including trucks) and live stock; </w:t>
      </w:r>
    </w:p>
    <w:p w14:paraId="05CF5174" w14:textId="77777777" w:rsidR="00523AA2" w:rsidRPr="00E517FF" w:rsidRDefault="00523AA2" w:rsidP="00E517FF">
      <w:pPr>
        <w:pStyle w:val="BodyTextIndent"/>
        <w:numPr>
          <w:ilvl w:val="4"/>
          <w:numId w:val="1"/>
        </w:numPr>
        <w:ind w:left="1418" w:hanging="425"/>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in bills of exchange or other negotiable instruments; </w:t>
      </w:r>
    </w:p>
    <w:p w14:paraId="7D74895B" w14:textId="77777777" w:rsidR="00523AA2" w:rsidRPr="00E517FF" w:rsidRDefault="00523AA2" w:rsidP="00E517FF">
      <w:pPr>
        <w:pStyle w:val="BodyTextIndent"/>
        <w:numPr>
          <w:ilvl w:val="4"/>
          <w:numId w:val="1"/>
        </w:numPr>
        <w:ind w:left="1418" w:hanging="425"/>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in options, hedging contracts, futures contracts, instalment warrants, derivatives, Contracts for Difference (“CFD's”), similar securities to the above and other financial instruments; </w:t>
      </w:r>
    </w:p>
    <w:p w14:paraId="7AC66D6D" w14:textId="77777777" w:rsidR="00523AA2" w:rsidRPr="00E517FF" w:rsidRDefault="00523AA2" w:rsidP="00E517FF">
      <w:pPr>
        <w:pStyle w:val="BodyTextIndent"/>
        <w:numPr>
          <w:ilvl w:val="4"/>
          <w:numId w:val="1"/>
        </w:numPr>
        <w:ind w:left="1418" w:hanging="425"/>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investing in any asset using the instalment warrant; and </w:t>
      </w:r>
    </w:p>
    <w:p w14:paraId="2960FB17" w14:textId="77777777" w:rsidR="00523AA2" w:rsidRPr="00E517FF" w:rsidRDefault="00523AA2" w:rsidP="00E517FF">
      <w:pPr>
        <w:pStyle w:val="BodyTextIndent"/>
        <w:numPr>
          <w:ilvl w:val="4"/>
          <w:numId w:val="1"/>
        </w:numPr>
        <w:ind w:left="1418" w:hanging="425"/>
        <w:jc w:val="both"/>
        <w:rPr>
          <w:rFonts w:asciiTheme="minorHAnsi" w:hAnsiTheme="minorHAnsi" w:cstheme="minorHAnsi"/>
          <w:noProof/>
          <w:sz w:val="21"/>
          <w:szCs w:val="21"/>
        </w:rPr>
      </w:pPr>
      <w:r w:rsidRPr="00E517FF">
        <w:rPr>
          <w:rFonts w:asciiTheme="minorHAnsi" w:hAnsiTheme="minorHAnsi" w:cstheme="minorHAnsi"/>
          <w:noProof/>
          <w:sz w:val="21"/>
          <w:szCs w:val="21"/>
        </w:rPr>
        <w:t>in other investments, which the Trustee considers on a case-by-case basis, such as investments in agribusiness.</w:t>
      </w:r>
    </w:p>
    <w:p w14:paraId="088D6B04" w14:textId="77777777" w:rsidR="00523AA2" w:rsidRPr="00E517FF" w:rsidRDefault="00523AA2" w:rsidP="00E517FF">
      <w:pPr>
        <w:pStyle w:val="BodyTextIndent"/>
        <w:numPr>
          <w:ilvl w:val="2"/>
          <w:numId w:val="1"/>
        </w:numPr>
        <w:ind w:left="993"/>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The Trustees may dispose of, vary, transpose, replace or encumber investments or mix investments with investments of other people or trustees as if they were personally entitled to them as beneficial owners. </w:t>
      </w:r>
    </w:p>
    <w:p w14:paraId="344F1AC5" w14:textId="77777777" w:rsidR="00523AA2" w:rsidRPr="00E517FF" w:rsidRDefault="00523AA2" w:rsidP="00E517FF">
      <w:pPr>
        <w:pStyle w:val="BodyTextIndent"/>
        <w:numPr>
          <w:ilvl w:val="2"/>
          <w:numId w:val="1"/>
        </w:numPr>
        <w:ind w:left="993"/>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The Trustees invest in a manner which is consistent with the Relevant Requirements. </w:t>
      </w:r>
    </w:p>
    <w:p w14:paraId="59C2D8BF" w14:textId="77777777" w:rsidR="00523AA2" w:rsidRPr="00E517FF" w:rsidRDefault="00523AA2" w:rsidP="00E517FF">
      <w:pPr>
        <w:pStyle w:val="BodyTextIndent"/>
        <w:numPr>
          <w:ilvl w:val="2"/>
          <w:numId w:val="1"/>
        </w:numPr>
        <w:ind w:left="993"/>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The Trustees may borrow money in a manner consistent with the Relevant Requirements. </w:t>
      </w:r>
    </w:p>
    <w:p w14:paraId="230207C8" w14:textId="77777777" w:rsidR="00523AA2" w:rsidRPr="00E517FF" w:rsidRDefault="00523AA2" w:rsidP="00E517FF">
      <w:pPr>
        <w:pStyle w:val="BodyTextIndent"/>
        <w:numPr>
          <w:ilvl w:val="2"/>
          <w:numId w:val="1"/>
        </w:numPr>
        <w:ind w:left="993"/>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The Trustees may only lend money to Members if it is consistent with the Relevant Requirements. </w:t>
      </w:r>
    </w:p>
    <w:p w14:paraId="1FF148D1" w14:textId="77777777" w:rsidR="00E517FF" w:rsidRPr="00E517FF" w:rsidRDefault="00E517FF" w:rsidP="00E517FF">
      <w:pPr>
        <w:pStyle w:val="ListParagraph"/>
        <w:spacing w:after="120"/>
        <w:rPr>
          <w:rFonts w:asciiTheme="minorHAnsi" w:hAnsiTheme="minorHAnsi" w:cstheme="minorHAnsi"/>
          <w:b/>
          <w:noProof/>
          <w:sz w:val="21"/>
          <w:szCs w:val="21"/>
        </w:rPr>
      </w:pPr>
    </w:p>
    <w:p w14:paraId="06834682" w14:textId="77777777" w:rsidR="00523AA2" w:rsidRPr="00E517FF" w:rsidRDefault="00523AA2" w:rsidP="00E517FF">
      <w:pPr>
        <w:pStyle w:val="ListParagraph"/>
        <w:numPr>
          <w:ilvl w:val="0"/>
          <w:numId w:val="1"/>
        </w:numPr>
        <w:spacing w:after="120"/>
        <w:rPr>
          <w:rFonts w:asciiTheme="minorHAnsi" w:hAnsiTheme="minorHAnsi" w:cstheme="minorHAnsi"/>
          <w:b/>
          <w:noProof/>
          <w:sz w:val="21"/>
          <w:szCs w:val="21"/>
        </w:rPr>
      </w:pPr>
      <w:r w:rsidRPr="00E517FF">
        <w:rPr>
          <w:rFonts w:asciiTheme="minorHAnsi" w:hAnsiTheme="minorHAnsi" w:cstheme="minorHAnsi"/>
          <w:b/>
          <w:noProof/>
          <w:sz w:val="21"/>
          <w:szCs w:val="21"/>
        </w:rPr>
        <w:t>BORROWING</w:t>
      </w:r>
    </w:p>
    <w:p w14:paraId="75348EC3" w14:textId="77777777" w:rsidR="006E1381" w:rsidRPr="00E517FF" w:rsidRDefault="006E1381" w:rsidP="00E517FF">
      <w:pPr>
        <w:pStyle w:val="ListParagraph"/>
        <w:spacing w:after="120"/>
        <w:rPr>
          <w:rFonts w:asciiTheme="minorHAnsi" w:hAnsiTheme="minorHAnsi" w:cstheme="minorHAnsi"/>
          <w:b/>
          <w:noProof/>
          <w:sz w:val="21"/>
          <w:szCs w:val="21"/>
        </w:rPr>
      </w:pPr>
    </w:p>
    <w:p w14:paraId="7C55CF1D" w14:textId="77777777" w:rsidR="00523AA2" w:rsidRPr="00E517FF" w:rsidRDefault="00523AA2" w:rsidP="00E517FF">
      <w:pPr>
        <w:pStyle w:val="BodyTextIndent"/>
        <w:numPr>
          <w:ilvl w:val="2"/>
          <w:numId w:val="1"/>
        </w:numPr>
        <w:ind w:left="1134" w:hanging="283"/>
        <w:jc w:val="both"/>
        <w:rPr>
          <w:rFonts w:asciiTheme="minorHAnsi" w:hAnsiTheme="minorHAnsi" w:cstheme="minorHAnsi"/>
          <w:b/>
          <w:noProof/>
          <w:sz w:val="21"/>
          <w:szCs w:val="21"/>
        </w:rPr>
      </w:pPr>
      <w:r w:rsidRPr="00E517FF">
        <w:rPr>
          <w:rFonts w:asciiTheme="minorHAnsi" w:hAnsiTheme="minorHAnsi" w:cstheme="minorHAnsi"/>
          <w:noProof/>
          <w:sz w:val="21"/>
          <w:szCs w:val="21"/>
        </w:rPr>
        <w:t>To seek higher returns, the Trustee may borrow money under any circumstances, for any reason, including limited recourse borrowing as provided for under sections 67A and 67B of the SIS Act (“</w:t>
      </w:r>
      <w:r w:rsidRPr="00E517FF">
        <w:rPr>
          <w:rFonts w:asciiTheme="minorHAnsi" w:hAnsiTheme="minorHAnsi" w:cstheme="minorHAnsi"/>
          <w:b/>
          <w:noProof/>
          <w:sz w:val="21"/>
          <w:szCs w:val="21"/>
        </w:rPr>
        <w:t>Borrowed Moneys</w:t>
      </w:r>
      <w:r w:rsidRPr="00E517FF">
        <w:rPr>
          <w:rFonts w:asciiTheme="minorHAnsi" w:hAnsiTheme="minorHAnsi" w:cstheme="minorHAnsi"/>
          <w:noProof/>
          <w:sz w:val="21"/>
          <w:szCs w:val="21"/>
        </w:rPr>
        <w:t>”) and applying the Borrowed Moneys for any purpose including the purchasing, refinancing and repairs and maintenance of an Acquirable Asset, under any circumstances (including through a trust, bare trust, warrant, limited recourse borrowing arrangement or beneficially).</w:t>
      </w:r>
    </w:p>
    <w:p w14:paraId="02F78A8B" w14:textId="77777777" w:rsidR="00523AA2" w:rsidRPr="00E517FF" w:rsidRDefault="00523AA2" w:rsidP="00E517FF">
      <w:pPr>
        <w:pStyle w:val="BodyTextIndent"/>
        <w:numPr>
          <w:ilvl w:val="2"/>
          <w:numId w:val="1"/>
        </w:numPr>
        <w:ind w:left="1134" w:hanging="283"/>
        <w:jc w:val="both"/>
        <w:rPr>
          <w:rFonts w:asciiTheme="minorHAnsi" w:hAnsiTheme="minorHAnsi" w:cstheme="minorHAnsi"/>
          <w:b/>
          <w:noProof/>
          <w:sz w:val="21"/>
          <w:szCs w:val="21"/>
        </w:rPr>
      </w:pPr>
      <w:r w:rsidRPr="00E517FF">
        <w:rPr>
          <w:rFonts w:asciiTheme="minorHAnsi" w:hAnsiTheme="minorHAnsi" w:cstheme="minorHAnsi"/>
          <w:noProof/>
          <w:sz w:val="21"/>
          <w:szCs w:val="21"/>
        </w:rPr>
        <w:t xml:space="preserve">Where the purchase has been made otherwise than beneficially, then the power to acquire the legal ownership of such asset (or replacement asset) at any time and the right to provide any lender with a loan </w:t>
      </w:r>
      <w:r w:rsidRPr="00E517FF">
        <w:rPr>
          <w:rFonts w:asciiTheme="minorHAnsi" w:hAnsiTheme="minorHAnsi" w:cstheme="minorHAnsi"/>
          <w:noProof/>
          <w:sz w:val="21"/>
          <w:szCs w:val="21"/>
        </w:rPr>
        <w:lastRenderedPageBreak/>
        <w:t>on any conditions including a limited recourse loan (including a loan limited to rights relating to the original asset or the replacement asset).</w:t>
      </w:r>
    </w:p>
    <w:p w14:paraId="6D8AA579" w14:textId="77777777" w:rsidR="00523AA2" w:rsidRPr="00E517FF" w:rsidRDefault="00523AA2" w:rsidP="00E517FF">
      <w:pPr>
        <w:pStyle w:val="BodyTextIndent"/>
        <w:numPr>
          <w:ilvl w:val="0"/>
          <w:numId w:val="1"/>
        </w:numPr>
        <w:jc w:val="both"/>
        <w:rPr>
          <w:rFonts w:asciiTheme="minorHAnsi" w:hAnsiTheme="minorHAnsi" w:cstheme="minorHAnsi"/>
          <w:b/>
          <w:noProof/>
          <w:sz w:val="21"/>
          <w:szCs w:val="21"/>
        </w:rPr>
      </w:pPr>
      <w:r w:rsidRPr="00E517FF">
        <w:rPr>
          <w:rFonts w:asciiTheme="minorHAnsi" w:hAnsiTheme="minorHAnsi" w:cstheme="minorHAnsi"/>
          <w:b/>
          <w:noProof/>
          <w:sz w:val="21"/>
          <w:szCs w:val="21"/>
        </w:rPr>
        <w:t>DIVERSITY OF THE MEMBER’S FUND</w:t>
      </w:r>
    </w:p>
    <w:p w14:paraId="7AFB0EE3" w14:textId="77777777" w:rsidR="00523AA2" w:rsidRPr="00E517FF" w:rsidRDefault="00523AA2" w:rsidP="00E517FF">
      <w:pPr>
        <w:pStyle w:val="BodyTextIndent"/>
        <w:numPr>
          <w:ilvl w:val="2"/>
          <w:numId w:val="1"/>
        </w:numPr>
        <w:ind w:left="1134" w:hanging="283"/>
        <w:jc w:val="both"/>
        <w:rPr>
          <w:rFonts w:asciiTheme="minorHAnsi" w:hAnsiTheme="minorHAnsi" w:cstheme="minorHAnsi"/>
          <w:b/>
          <w:noProof/>
          <w:sz w:val="21"/>
          <w:szCs w:val="21"/>
        </w:rPr>
      </w:pPr>
      <w:r w:rsidRPr="00E517FF">
        <w:rPr>
          <w:rFonts w:asciiTheme="minorHAnsi" w:hAnsiTheme="minorHAnsi" w:cstheme="minorHAnsi"/>
          <w:noProof/>
          <w:sz w:val="21"/>
          <w:szCs w:val="21"/>
        </w:rPr>
        <w:t>Holding a number of investments is the essence of diversity. This may have the effect of reducing volatility. However, diversification is only one factor to be considered in this strategy.</w:t>
      </w:r>
    </w:p>
    <w:p w14:paraId="0C771C05" w14:textId="77777777" w:rsidR="00523AA2" w:rsidRPr="00E517FF" w:rsidRDefault="00523AA2" w:rsidP="00E517FF">
      <w:pPr>
        <w:pStyle w:val="BodyTextIndent"/>
        <w:numPr>
          <w:ilvl w:val="2"/>
          <w:numId w:val="1"/>
        </w:numPr>
        <w:ind w:left="1134" w:hanging="283"/>
        <w:jc w:val="both"/>
        <w:rPr>
          <w:rFonts w:asciiTheme="minorHAnsi" w:hAnsiTheme="minorHAnsi" w:cstheme="minorHAnsi"/>
          <w:b/>
          <w:noProof/>
          <w:sz w:val="21"/>
          <w:szCs w:val="21"/>
        </w:rPr>
      </w:pPr>
      <w:r w:rsidRPr="00E517FF">
        <w:rPr>
          <w:rFonts w:asciiTheme="minorHAnsi" w:hAnsiTheme="minorHAnsi" w:cstheme="minorHAnsi"/>
          <w:noProof/>
          <w:sz w:val="21"/>
          <w:szCs w:val="21"/>
        </w:rPr>
        <w:t>The Trustee may, in writing, change the spread of investments (even on a daily basis). However, the Fund’s current investm</w:t>
      </w:r>
      <w:r w:rsidR="00CB5A53" w:rsidRPr="00E517FF">
        <w:rPr>
          <w:rFonts w:asciiTheme="minorHAnsi" w:hAnsiTheme="minorHAnsi" w:cstheme="minorHAnsi"/>
          <w:noProof/>
          <w:sz w:val="21"/>
          <w:szCs w:val="21"/>
        </w:rPr>
        <w:t>ent spread is.</w:t>
      </w:r>
    </w:p>
    <w:p w14:paraId="507AA18A" w14:textId="77777777" w:rsidR="00523AA2" w:rsidRPr="00E517FF" w:rsidRDefault="00523AA2" w:rsidP="00E517FF">
      <w:pPr>
        <w:pStyle w:val="BodyTextIndent"/>
        <w:numPr>
          <w:ilvl w:val="2"/>
          <w:numId w:val="1"/>
        </w:numPr>
        <w:ind w:left="1134" w:hanging="283"/>
        <w:jc w:val="both"/>
        <w:rPr>
          <w:rFonts w:asciiTheme="minorHAnsi" w:hAnsiTheme="minorHAnsi" w:cstheme="minorHAnsi"/>
          <w:b/>
          <w:noProof/>
          <w:sz w:val="21"/>
          <w:szCs w:val="21"/>
        </w:rPr>
      </w:pPr>
      <w:r w:rsidRPr="00E517FF">
        <w:rPr>
          <w:rFonts w:asciiTheme="minorHAnsi" w:hAnsiTheme="minorHAnsi" w:cstheme="minorHAnsi"/>
          <w:noProof/>
          <w:sz w:val="21"/>
          <w:szCs w:val="21"/>
        </w:rPr>
        <w:t>Where no range has been inserted above then the Trustee considers that no specific percentage range for each of the asset classes should be adopted but that each asset class should be considered on its own investment merits having regard to an appropriate degree of diversification.</w:t>
      </w:r>
    </w:p>
    <w:p w14:paraId="0B940E0B" w14:textId="77777777" w:rsidR="00523AA2" w:rsidRPr="00E517FF" w:rsidRDefault="00523AA2" w:rsidP="00E517FF">
      <w:pPr>
        <w:pStyle w:val="BodyTextIndent"/>
        <w:ind w:left="0"/>
        <w:jc w:val="both"/>
        <w:rPr>
          <w:rFonts w:asciiTheme="minorHAnsi" w:hAnsiTheme="minorHAnsi" w:cstheme="minorHAnsi"/>
          <w:b/>
          <w:noProof/>
          <w:sz w:val="21"/>
          <w:szCs w:val="21"/>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tblBorders>
        <w:tblCellMar>
          <w:top w:w="105" w:type="dxa"/>
          <w:left w:w="105" w:type="dxa"/>
          <w:bottom w:w="105" w:type="dxa"/>
          <w:right w:w="105" w:type="dxa"/>
        </w:tblCellMar>
        <w:tblLook w:val="04A0" w:firstRow="1" w:lastRow="0" w:firstColumn="1" w:lastColumn="0" w:noHBand="0" w:noVBand="1"/>
      </w:tblPr>
      <w:tblGrid>
        <w:gridCol w:w="8051"/>
        <w:gridCol w:w="2143"/>
      </w:tblGrid>
      <w:tr w:rsidR="00523AA2" w:rsidRPr="00E517FF" w14:paraId="0840C500" w14:textId="77777777" w:rsidTr="00F274EA">
        <w:trPr>
          <w:tblCellSpacing w:w="0" w:type="dxa"/>
        </w:trPr>
        <w:tc>
          <w:tcPr>
            <w:tcW w:w="3949" w:type="pct"/>
            <w:vAlign w:val="center"/>
            <w:hideMark/>
          </w:tcPr>
          <w:p w14:paraId="49EB667B" w14:textId="4D83A84D" w:rsidR="00523AA2" w:rsidRPr="00E517FF" w:rsidRDefault="00523AA2" w:rsidP="00E517FF">
            <w:pPr>
              <w:pStyle w:val="BodyTextIndent"/>
              <w:ind w:left="0"/>
              <w:jc w:val="both"/>
              <w:rPr>
                <w:rFonts w:asciiTheme="minorHAnsi" w:hAnsiTheme="minorHAnsi" w:cstheme="minorHAnsi"/>
                <w:b/>
                <w:noProof/>
                <w:sz w:val="21"/>
                <w:szCs w:val="21"/>
              </w:rPr>
            </w:pPr>
            <w:r w:rsidRPr="00E517FF">
              <w:rPr>
                <w:rFonts w:asciiTheme="minorHAnsi" w:hAnsiTheme="minorHAnsi" w:cstheme="minorHAnsi"/>
                <w:b/>
                <w:noProof/>
                <w:sz w:val="21"/>
                <w:szCs w:val="21"/>
              </w:rPr>
              <w:t>Asset Allocation (%) of</w:t>
            </w:r>
            <w:r w:rsidR="00CB5A53" w:rsidRPr="00E517FF">
              <w:rPr>
                <w:rFonts w:asciiTheme="minorHAnsi" w:hAnsiTheme="minorHAnsi" w:cstheme="minorHAnsi"/>
                <w:b/>
                <w:noProof/>
                <w:sz w:val="21"/>
                <w:szCs w:val="21"/>
              </w:rPr>
              <w:t xml:space="preserve"> the </w:t>
            </w:r>
            <w:r w:rsidR="002570C7">
              <w:rPr>
                <w:rFonts w:asciiTheme="minorHAnsi" w:hAnsiTheme="minorHAnsi" w:cstheme="minorHAnsi"/>
                <w:b/>
                <w:noProof/>
                <w:sz w:val="21"/>
                <w:szCs w:val="21"/>
              </w:rPr>
              <w:t>Danny Wong Super Fund</w:t>
            </w:r>
            <w:r w:rsidR="00CB5A53" w:rsidRPr="00E517FF">
              <w:rPr>
                <w:rFonts w:asciiTheme="minorHAnsi" w:hAnsiTheme="minorHAnsi" w:cstheme="minorHAnsi"/>
                <w:b/>
                <w:noProof/>
                <w:sz w:val="21"/>
                <w:szCs w:val="21"/>
              </w:rPr>
              <w:t xml:space="preserve"> </w:t>
            </w:r>
          </w:p>
        </w:tc>
        <w:tc>
          <w:tcPr>
            <w:tcW w:w="1051" w:type="pct"/>
            <w:tcBorders>
              <w:left w:val="single" w:sz="12" w:space="0" w:color="auto"/>
            </w:tcBorders>
            <w:noWrap/>
            <w:vAlign w:val="center"/>
            <w:hideMark/>
          </w:tcPr>
          <w:p w14:paraId="66C75625" w14:textId="77777777" w:rsidR="00523AA2" w:rsidRPr="00E517FF" w:rsidRDefault="00523AA2" w:rsidP="002A74AF">
            <w:pPr>
              <w:pStyle w:val="BodyTextIndent"/>
              <w:ind w:left="0"/>
              <w:jc w:val="center"/>
              <w:rPr>
                <w:rFonts w:asciiTheme="minorHAnsi" w:hAnsiTheme="minorHAnsi" w:cstheme="minorHAnsi"/>
                <w:b/>
                <w:noProof/>
                <w:sz w:val="21"/>
                <w:szCs w:val="21"/>
              </w:rPr>
            </w:pPr>
            <w:r w:rsidRPr="00E517FF">
              <w:rPr>
                <w:rFonts w:asciiTheme="minorHAnsi" w:hAnsiTheme="minorHAnsi" w:cstheme="minorHAnsi"/>
                <w:b/>
                <w:noProof/>
                <w:sz w:val="21"/>
                <w:szCs w:val="21"/>
              </w:rPr>
              <w:t>Range (%)</w:t>
            </w:r>
            <w:r w:rsidRPr="00E517FF">
              <w:rPr>
                <w:rFonts w:asciiTheme="minorHAnsi" w:hAnsiTheme="minorHAnsi" w:cstheme="minorHAnsi"/>
                <w:b/>
                <w:noProof/>
                <w:sz w:val="21"/>
                <w:szCs w:val="21"/>
              </w:rPr>
              <w:br/>
              <w:t>e.g. 0 - 100%</w:t>
            </w:r>
          </w:p>
        </w:tc>
      </w:tr>
      <w:tr w:rsidR="000A7DA9" w:rsidRPr="00E517FF" w14:paraId="3F7DA740" w14:textId="77777777" w:rsidTr="000A7DA9">
        <w:trPr>
          <w:tblCellSpacing w:w="0" w:type="dxa"/>
        </w:trPr>
        <w:tc>
          <w:tcPr>
            <w:tcW w:w="3949" w:type="pct"/>
            <w:vAlign w:val="center"/>
          </w:tcPr>
          <w:p w14:paraId="37D258A2" w14:textId="77777777" w:rsidR="000A7DA9" w:rsidRPr="00E517FF" w:rsidRDefault="000A7DA9" w:rsidP="00E517FF">
            <w:pPr>
              <w:pStyle w:val="BodyTextIndent"/>
              <w:ind w:left="0"/>
              <w:jc w:val="both"/>
              <w:rPr>
                <w:rFonts w:asciiTheme="minorHAnsi" w:hAnsiTheme="minorHAnsi" w:cstheme="minorHAnsi"/>
                <w:noProof/>
                <w:sz w:val="21"/>
                <w:szCs w:val="21"/>
              </w:rPr>
            </w:pPr>
            <w:r w:rsidRPr="00E517FF">
              <w:rPr>
                <w:rFonts w:asciiTheme="minorHAnsi" w:hAnsiTheme="minorHAnsi" w:cstheme="minorHAnsi"/>
                <w:noProof/>
                <w:sz w:val="21"/>
                <w:szCs w:val="21"/>
              </w:rPr>
              <w:t>Cash</w:t>
            </w:r>
          </w:p>
        </w:tc>
        <w:tc>
          <w:tcPr>
            <w:tcW w:w="1051" w:type="pct"/>
            <w:tcBorders>
              <w:left w:val="single" w:sz="12" w:space="0" w:color="auto"/>
            </w:tcBorders>
            <w:vAlign w:val="bottom"/>
          </w:tcPr>
          <w:p w14:paraId="1B9F0B35" w14:textId="023BD2C6" w:rsidR="000A7DA9" w:rsidRPr="00E517FF" w:rsidRDefault="0014738E" w:rsidP="002A74AF">
            <w:pPr>
              <w:spacing w:after="120"/>
              <w:jc w:val="center"/>
              <w:rPr>
                <w:rFonts w:asciiTheme="minorHAnsi" w:hAnsiTheme="minorHAnsi" w:cstheme="minorHAnsi"/>
                <w:sz w:val="21"/>
                <w:szCs w:val="21"/>
              </w:rPr>
            </w:pPr>
            <w:r>
              <w:rPr>
                <w:rFonts w:asciiTheme="minorHAnsi" w:hAnsiTheme="minorHAnsi" w:cstheme="minorHAnsi"/>
                <w:noProof/>
                <w:sz w:val="21"/>
                <w:szCs w:val="21"/>
              </w:rPr>
              <w:t xml:space="preserve">0 – </w:t>
            </w:r>
            <w:r w:rsidR="00453B95">
              <w:rPr>
                <w:rFonts w:asciiTheme="minorHAnsi" w:hAnsiTheme="minorHAnsi" w:cstheme="minorHAnsi"/>
                <w:noProof/>
                <w:sz w:val="21"/>
                <w:szCs w:val="21"/>
              </w:rPr>
              <w:t>2</w:t>
            </w:r>
            <w:r>
              <w:rPr>
                <w:rFonts w:asciiTheme="minorHAnsi" w:hAnsiTheme="minorHAnsi" w:cstheme="minorHAnsi"/>
                <w:noProof/>
                <w:sz w:val="21"/>
                <w:szCs w:val="21"/>
              </w:rPr>
              <w:t>0%</w:t>
            </w:r>
          </w:p>
        </w:tc>
      </w:tr>
      <w:tr w:rsidR="000A7DA9" w:rsidRPr="00E517FF" w14:paraId="0DAF3FC9" w14:textId="77777777" w:rsidTr="000A7DA9">
        <w:trPr>
          <w:tblCellSpacing w:w="0" w:type="dxa"/>
        </w:trPr>
        <w:tc>
          <w:tcPr>
            <w:tcW w:w="3949" w:type="pct"/>
            <w:vAlign w:val="center"/>
            <w:hideMark/>
          </w:tcPr>
          <w:p w14:paraId="52862887" w14:textId="77777777" w:rsidR="000A7DA9" w:rsidRPr="00E517FF" w:rsidRDefault="000A7DA9" w:rsidP="00E517FF">
            <w:pPr>
              <w:pStyle w:val="BodyTextIndent"/>
              <w:ind w:left="0"/>
              <w:jc w:val="both"/>
              <w:rPr>
                <w:rFonts w:asciiTheme="minorHAnsi" w:hAnsiTheme="minorHAnsi" w:cstheme="minorHAnsi"/>
                <w:noProof/>
                <w:sz w:val="21"/>
                <w:szCs w:val="21"/>
              </w:rPr>
            </w:pPr>
            <w:r w:rsidRPr="00E517FF">
              <w:rPr>
                <w:rFonts w:asciiTheme="minorHAnsi" w:hAnsiTheme="minorHAnsi" w:cstheme="minorHAnsi"/>
                <w:noProof/>
                <w:sz w:val="21"/>
                <w:szCs w:val="21"/>
              </w:rPr>
              <w:t>Australian Fixed Interest</w:t>
            </w:r>
          </w:p>
        </w:tc>
        <w:tc>
          <w:tcPr>
            <w:tcW w:w="1051" w:type="pct"/>
            <w:tcBorders>
              <w:left w:val="single" w:sz="12" w:space="0" w:color="auto"/>
            </w:tcBorders>
            <w:vAlign w:val="bottom"/>
            <w:hideMark/>
          </w:tcPr>
          <w:p w14:paraId="7FCD9A8E" w14:textId="3E37280E" w:rsidR="000A7DA9" w:rsidRPr="00E517FF" w:rsidRDefault="0014738E" w:rsidP="002A74AF">
            <w:pPr>
              <w:spacing w:after="120"/>
              <w:jc w:val="center"/>
              <w:rPr>
                <w:rFonts w:asciiTheme="minorHAnsi" w:hAnsiTheme="minorHAnsi" w:cstheme="minorHAnsi"/>
                <w:sz w:val="21"/>
                <w:szCs w:val="21"/>
              </w:rPr>
            </w:pPr>
            <w:r>
              <w:rPr>
                <w:rFonts w:asciiTheme="minorHAnsi" w:hAnsiTheme="minorHAnsi" w:cstheme="minorHAnsi"/>
                <w:noProof/>
                <w:sz w:val="21"/>
                <w:szCs w:val="21"/>
              </w:rPr>
              <w:t>0 – 80%</w:t>
            </w:r>
          </w:p>
        </w:tc>
      </w:tr>
      <w:tr w:rsidR="000A7DA9" w:rsidRPr="00E517FF" w14:paraId="0BFE8621" w14:textId="77777777" w:rsidTr="000A7DA9">
        <w:trPr>
          <w:tblCellSpacing w:w="0" w:type="dxa"/>
        </w:trPr>
        <w:tc>
          <w:tcPr>
            <w:tcW w:w="3949" w:type="pct"/>
            <w:vAlign w:val="center"/>
            <w:hideMark/>
          </w:tcPr>
          <w:p w14:paraId="70726068" w14:textId="77777777" w:rsidR="000A7DA9" w:rsidRPr="00E517FF" w:rsidRDefault="000A7DA9" w:rsidP="00E517FF">
            <w:pPr>
              <w:pStyle w:val="BodyTextIndent"/>
              <w:ind w:left="0"/>
              <w:jc w:val="both"/>
              <w:rPr>
                <w:rFonts w:asciiTheme="minorHAnsi" w:hAnsiTheme="minorHAnsi" w:cstheme="minorHAnsi"/>
                <w:noProof/>
                <w:sz w:val="21"/>
                <w:szCs w:val="21"/>
              </w:rPr>
            </w:pPr>
            <w:r w:rsidRPr="00E517FF">
              <w:rPr>
                <w:rFonts w:asciiTheme="minorHAnsi" w:hAnsiTheme="minorHAnsi" w:cstheme="minorHAnsi"/>
                <w:noProof/>
                <w:sz w:val="21"/>
                <w:szCs w:val="21"/>
              </w:rPr>
              <w:t>Australian Equities (Current Benchmark: S&amp;P ASX 200)</w:t>
            </w:r>
          </w:p>
        </w:tc>
        <w:tc>
          <w:tcPr>
            <w:tcW w:w="1051" w:type="pct"/>
            <w:tcBorders>
              <w:left w:val="single" w:sz="12" w:space="0" w:color="auto"/>
            </w:tcBorders>
            <w:vAlign w:val="bottom"/>
            <w:hideMark/>
          </w:tcPr>
          <w:p w14:paraId="6EE96CC4" w14:textId="50282724" w:rsidR="000A7DA9" w:rsidRPr="00E517FF" w:rsidRDefault="0014738E" w:rsidP="002A74AF">
            <w:pPr>
              <w:spacing w:after="120"/>
              <w:jc w:val="center"/>
              <w:rPr>
                <w:rFonts w:asciiTheme="minorHAnsi" w:hAnsiTheme="minorHAnsi" w:cstheme="minorHAnsi"/>
                <w:sz w:val="21"/>
                <w:szCs w:val="21"/>
              </w:rPr>
            </w:pPr>
            <w:r>
              <w:rPr>
                <w:rFonts w:asciiTheme="minorHAnsi" w:hAnsiTheme="minorHAnsi" w:cstheme="minorHAnsi"/>
                <w:noProof/>
                <w:sz w:val="21"/>
                <w:szCs w:val="21"/>
              </w:rPr>
              <w:t xml:space="preserve">0 </w:t>
            </w:r>
            <w:r w:rsidR="000C1883">
              <w:rPr>
                <w:rFonts w:asciiTheme="minorHAnsi" w:hAnsiTheme="minorHAnsi" w:cstheme="minorHAnsi"/>
                <w:noProof/>
                <w:sz w:val="21"/>
                <w:szCs w:val="21"/>
              </w:rPr>
              <w:t>–</w:t>
            </w:r>
            <w:r>
              <w:rPr>
                <w:rFonts w:asciiTheme="minorHAnsi" w:hAnsiTheme="minorHAnsi" w:cstheme="minorHAnsi"/>
                <w:noProof/>
                <w:sz w:val="21"/>
                <w:szCs w:val="21"/>
              </w:rPr>
              <w:t xml:space="preserve"> </w:t>
            </w:r>
            <w:r w:rsidR="000C1883">
              <w:rPr>
                <w:rFonts w:asciiTheme="minorHAnsi" w:hAnsiTheme="minorHAnsi" w:cstheme="minorHAnsi"/>
                <w:noProof/>
                <w:sz w:val="21"/>
                <w:szCs w:val="21"/>
              </w:rPr>
              <w:t>30%</w:t>
            </w:r>
          </w:p>
        </w:tc>
      </w:tr>
      <w:tr w:rsidR="000A7DA9" w:rsidRPr="00E517FF" w14:paraId="4EBE4BCF" w14:textId="77777777" w:rsidTr="000A7DA9">
        <w:trPr>
          <w:tblCellSpacing w:w="0" w:type="dxa"/>
        </w:trPr>
        <w:tc>
          <w:tcPr>
            <w:tcW w:w="3949" w:type="pct"/>
            <w:vAlign w:val="center"/>
            <w:hideMark/>
          </w:tcPr>
          <w:p w14:paraId="6519C451" w14:textId="77777777" w:rsidR="000A7DA9" w:rsidRPr="00E517FF" w:rsidRDefault="000A7DA9" w:rsidP="00E517FF">
            <w:pPr>
              <w:pStyle w:val="BodyTextIndent"/>
              <w:ind w:left="0"/>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Others: </w:t>
            </w:r>
          </w:p>
        </w:tc>
        <w:tc>
          <w:tcPr>
            <w:tcW w:w="1051" w:type="pct"/>
            <w:tcBorders>
              <w:left w:val="single" w:sz="12" w:space="0" w:color="auto"/>
            </w:tcBorders>
            <w:vAlign w:val="bottom"/>
            <w:hideMark/>
          </w:tcPr>
          <w:p w14:paraId="288D45DF" w14:textId="418A59EB" w:rsidR="000A7DA9" w:rsidRPr="00E517FF" w:rsidRDefault="000C1883" w:rsidP="002A74AF">
            <w:pPr>
              <w:spacing w:after="120"/>
              <w:jc w:val="center"/>
              <w:rPr>
                <w:rFonts w:asciiTheme="minorHAnsi" w:hAnsiTheme="minorHAnsi" w:cstheme="minorHAnsi"/>
                <w:sz w:val="21"/>
                <w:szCs w:val="21"/>
              </w:rPr>
            </w:pPr>
            <w:r>
              <w:rPr>
                <w:rFonts w:asciiTheme="minorHAnsi" w:hAnsiTheme="minorHAnsi" w:cstheme="minorHAnsi"/>
                <w:noProof/>
                <w:sz w:val="21"/>
                <w:szCs w:val="21"/>
              </w:rPr>
              <w:t>0 – 10%</w:t>
            </w:r>
          </w:p>
        </w:tc>
      </w:tr>
    </w:tbl>
    <w:p w14:paraId="756F2F32" w14:textId="77777777" w:rsidR="00523AA2" w:rsidRPr="00E517FF" w:rsidRDefault="00523AA2" w:rsidP="00E517FF">
      <w:pPr>
        <w:pStyle w:val="BodyTextIndent"/>
        <w:ind w:left="0"/>
        <w:jc w:val="both"/>
        <w:rPr>
          <w:rFonts w:asciiTheme="minorHAnsi" w:hAnsiTheme="minorHAnsi" w:cstheme="minorHAnsi"/>
          <w:noProof/>
          <w:sz w:val="21"/>
          <w:szCs w:val="21"/>
        </w:rPr>
      </w:pPr>
    </w:p>
    <w:p w14:paraId="457279B0" w14:textId="77777777" w:rsidR="00523AA2" w:rsidRPr="00E517FF" w:rsidRDefault="00523AA2" w:rsidP="00E517FF">
      <w:pPr>
        <w:pStyle w:val="BodyTextIndent"/>
        <w:numPr>
          <w:ilvl w:val="0"/>
          <w:numId w:val="1"/>
        </w:numPr>
        <w:jc w:val="both"/>
        <w:rPr>
          <w:rFonts w:asciiTheme="minorHAnsi" w:hAnsiTheme="minorHAnsi" w:cstheme="minorHAnsi"/>
          <w:b/>
          <w:noProof/>
          <w:sz w:val="21"/>
          <w:szCs w:val="21"/>
        </w:rPr>
      </w:pPr>
      <w:r w:rsidRPr="00E517FF">
        <w:rPr>
          <w:rFonts w:asciiTheme="minorHAnsi" w:hAnsiTheme="minorHAnsi" w:cstheme="minorHAnsi"/>
          <w:b/>
          <w:noProof/>
          <w:sz w:val="21"/>
          <w:szCs w:val="21"/>
        </w:rPr>
        <w:t>PAYING DEBTS</w:t>
      </w:r>
    </w:p>
    <w:p w14:paraId="53B33DC3" w14:textId="77777777" w:rsidR="00523AA2" w:rsidRPr="00E517FF" w:rsidRDefault="00523AA2" w:rsidP="00E517FF">
      <w:pPr>
        <w:pStyle w:val="BodyTextIndent"/>
        <w:ind w:left="360"/>
        <w:jc w:val="both"/>
        <w:rPr>
          <w:rFonts w:asciiTheme="minorHAnsi" w:hAnsiTheme="minorHAnsi" w:cstheme="minorHAnsi"/>
          <w:noProof/>
          <w:sz w:val="21"/>
          <w:szCs w:val="21"/>
        </w:rPr>
      </w:pPr>
      <w:r w:rsidRPr="00E517FF">
        <w:rPr>
          <w:rFonts w:asciiTheme="minorHAnsi" w:hAnsiTheme="minorHAnsi" w:cstheme="minorHAnsi"/>
          <w:noProof/>
          <w:sz w:val="21"/>
          <w:szCs w:val="21"/>
        </w:rPr>
        <w:t>The Trustee is obliged to pay tax, expenses and benefits. It will do so within 31 days. The Trustee ensures that it holds sufficient cash to meet such obligations. Moneys must also be kept in reserve to meet the risk and reward objectives of the Fund.</w:t>
      </w:r>
    </w:p>
    <w:p w14:paraId="1E55401A" w14:textId="77777777" w:rsidR="00523AA2" w:rsidRPr="00E517FF" w:rsidRDefault="00523AA2" w:rsidP="00E517FF">
      <w:pPr>
        <w:pStyle w:val="BodyTextIndent"/>
        <w:numPr>
          <w:ilvl w:val="0"/>
          <w:numId w:val="1"/>
        </w:numPr>
        <w:jc w:val="both"/>
        <w:rPr>
          <w:rFonts w:asciiTheme="minorHAnsi" w:hAnsiTheme="minorHAnsi" w:cstheme="minorHAnsi"/>
          <w:b/>
          <w:noProof/>
          <w:sz w:val="21"/>
          <w:szCs w:val="21"/>
        </w:rPr>
      </w:pPr>
      <w:r w:rsidRPr="00E517FF">
        <w:rPr>
          <w:rFonts w:asciiTheme="minorHAnsi" w:hAnsiTheme="minorHAnsi" w:cstheme="minorHAnsi"/>
          <w:b/>
          <w:noProof/>
          <w:sz w:val="21"/>
          <w:szCs w:val="21"/>
        </w:rPr>
        <w:t>COST OF INVESTING</w:t>
      </w:r>
    </w:p>
    <w:p w14:paraId="4788EC41" w14:textId="77777777" w:rsidR="00523AA2" w:rsidRDefault="00523AA2" w:rsidP="00E517FF">
      <w:pPr>
        <w:pStyle w:val="BodyTextIndent"/>
        <w:ind w:left="360"/>
        <w:jc w:val="both"/>
        <w:rPr>
          <w:rFonts w:asciiTheme="minorHAnsi" w:hAnsiTheme="minorHAnsi" w:cstheme="minorHAnsi"/>
          <w:noProof/>
          <w:sz w:val="21"/>
          <w:szCs w:val="21"/>
        </w:rPr>
      </w:pPr>
      <w:r w:rsidRPr="00E517FF">
        <w:rPr>
          <w:rFonts w:asciiTheme="minorHAnsi" w:hAnsiTheme="minorHAnsi" w:cstheme="minorHAnsi"/>
          <w:noProof/>
          <w:sz w:val="21"/>
          <w:szCs w:val="21"/>
        </w:rPr>
        <w:t>The Trustee strives to reduce costs of investing. However, at times upfront investment costs are payable in order to obtain the best investment products that fit into this investment strategy. Exit costs and penalties may also be part of the cost of carrying out this investment strategy.</w:t>
      </w:r>
    </w:p>
    <w:p w14:paraId="1F77D1F7" w14:textId="77777777" w:rsidR="00523AA2" w:rsidRPr="00E517FF" w:rsidRDefault="00523AA2" w:rsidP="00E517FF">
      <w:pPr>
        <w:pStyle w:val="BodyTextIndent"/>
        <w:numPr>
          <w:ilvl w:val="0"/>
          <w:numId w:val="1"/>
        </w:numPr>
        <w:jc w:val="both"/>
        <w:rPr>
          <w:rFonts w:asciiTheme="minorHAnsi" w:hAnsiTheme="minorHAnsi" w:cstheme="minorHAnsi"/>
          <w:b/>
          <w:noProof/>
          <w:sz w:val="21"/>
          <w:szCs w:val="21"/>
        </w:rPr>
      </w:pPr>
      <w:r w:rsidRPr="00E517FF">
        <w:rPr>
          <w:rFonts w:asciiTheme="minorHAnsi" w:hAnsiTheme="minorHAnsi" w:cstheme="minorHAnsi"/>
          <w:b/>
          <w:noProof/>
          <w:sz w:val="21"/>
          <w:szCs w:val="21"/>
        </w:rPr>
        <w:t>INVESTMENTS</w:t>
      </w:r>
    </w:p>
    <w:p w14:paraId="52BEAC99" w14:textId="77777777" w:rsidR="00523AA2" w:rsidRPr="00E517FF" w:rsidRDefault="00523AA2" w:rsidP="00E517FF">
      <w:pPr>
        <w:pStyle w:val="BodyTextIndent"/>
        <w:numPr>
          <w:ilvl w:val="1"/>
          <w:numId w:val="1"/>
        </w:numPr>
        <w:ind w:left="993" w:hanging="273"/>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Cash </w:t>
      </w:r>
    </w:p>
    <w:p w14:paraId="77F04870" w14:textId="77777777" w:rsidR="00523AA2" w:rsidRPr="00E517FF" w:rsidRDefault="00523AA2" w:rsidP="00E517FF">
      <w:pPr>
        <w:pStyle w:val="BodyTextIndent"/>
        <w:ind w:left="720"/>
        <w:jc w:val="both"/>
        <w:rPr>
          <w:rFonts w:asciiTheme="minorHAnsi" w:hAnsiTheme="minorHAnsi" w:cstheme="minorHAnsi"/>
          <w:b/>
          <w:noProof/>
          <w:sz w:val="21"/>
          <w:szCs w:val="21"/>
        </w:rPr>
      </w:pPr>
      <w:r w:rsidRPr="00E517FF">
        <w:rPr>
          <w:rFonts w:asciiTheme="minorHAnsi" w:hAnsiTheme="minorHAnsi" w:cstheme="minorHAnsi"/>
          <w:noProof/>
          <w:sz w:val="21"/>
          <w:szCs w:val="21"/>
        </w:rPr>
        <w:t>Money can be held in kind, banks, building societies, lending institutions and cash management accounts.</w:t>
      </w:r>
    </w:p>
    <w:p w14:paraId="5817EF3E" w14:textId="77777777" w:rsidR="00523AA2" w:rsidRPr="00E517FF" w:rsidRDefault="00523AA2" w:rsidP="00E517FF">
      <w:pPr>
        <w:pStyle w:val="BodyTextIndent"/>
        <w:numPr>
          <w:ilvl w:val="1"/>
          <w:numId w:val="1"/>
        </w:numPr>
        <w:ind w:left="993" w:hanging="273"/>
        <w:jc w:val="both"/>
        <w:rPr>
          <w:rFonts w:asciiTheme="minorHAnsi" w:hAnsiTheme="minorHAnsi" w:cstheme="minorHAnsi"/>
          <w:noProof/>
          <w:sz w:val="21"/>
          <w:szCs w:val="21"/>
        </w:rPr>
      </w:pPr>
      <w:r w:rsidRPr="00E517FF">
        <w:rPr>
          <w:rFonts w:asciiTheme="minorHAnsi" w:hAnsiTheme="minorHAnsi" w:cstheme="minorHAnsi"/>
          <w:noProof/>
          <w:sz w:val="21"/>
          <w:szCs w:val="21"/>
        </w:rPr>
        <w:t xml:space="preserve">Australian Shares </w:t>
      </w:r>
    </w:p>
    <w:p w14:paraId="2941EF6C" w14:textId="77777777" w:rsidR="00523AA2" w:rsidRPr="00E517FF" w:rsidRDefault="00523AA2" w:rsidP="00E517FF">
      <w:pPr>
        <w:pStyle w:val="BodyTextIndent"/>
        <w:ind w:left="720"/>
        <w:jc w:val="both"/>
        <w:rPr>
          <w:rFonts w:asciiTheme="minorHAnsi" w:hAnsiTheme="minorHAnsi" w:cstheme="minorHAnsi"/>
          <w:noProof/>
          <w:sz w:val="21"/>
          <w:szCs w:val="21"/>
        </w:rPr>
      </w:pPr>
      <w:r w:rsidRPr="00E517FF">
        <w:rPr>
          <w:rFonts w:asciiTheme="minorHAnsi" w:hAnsiTheme="minorHAnsi" w:cstheme="minorHAnsi"/>
          <w:noProof/>
          <w:sz w:val="21"/>
          <w:szCs w:val="21"/>
        </w:rPr>
        <w:t>After research and due diligence, these include listed and unlisted securities including shares, warrants, derivatives, CFD's, derivatives securities and managed funds.</w:t>
      </w:r>
    </w:p>
    <w:p w14:paraId="618ACA2A" w14:textId="77777777" w:rsidR="00523AA2" w:rsidRPr="00E517FF" w:rsidRDefault="00523AA2" w:rsidP="00E517FF">
      <w:pPr>
        <w:pStyle w:val="BodyTextIndent"/>
        <w:numPr>
          <w:ilvl w:val="1"/>
          <w:numId w:val="1"/>
        </w:numPr>
        <w:ind w:left="993" w:hanging="273"/>
        <w:jc w:val="both"/>
        <w:rPr>
          <w:rFonts w:asciiTheme="minorHAnsi" w:hAnsiTheme="minorHAnsi" w:cstheme="minorHAnsi"/>
          <w:noProof/>
          <w:sz w:val="21"/>
          <w:szCs w:val="21"/>
        </w:rPr>
      </w:pPr>
      <w:r w:rsidRPr="00E517FF">
        <w:rPr>
          <w:rFonts w:asciiTheme="minorHAnsi" w:hAnsiTheme="minorHAnsi" w:cstheme="minorHAnsi"/>
          <w:noProof/>
          <w:sz w:val="21"/>
          <w:szCs w:val="21"/>
        </w:rPr>
        <w:t>Australian Fixed Interest</w:t>
      </w:r>
    </w:p>
    <w:p w14:paraId="247A957C" w14:textId="77777777" w:rsidR="00523AA2" w:rsidRPr="00E517FF" w:rsidRDefault="00523AA2" w:rsidP="00E517FF">
      <w:pPr>
        <w:pStyle w:val="BodyTextIndent"/>
        <w:ind w:left="720"/>
        <w:jc w:val="both"/>
        <w:rPr>
          <w:rFonts w:asciiTheme="minorHAnsi" w:hAnsiTheme="minorHAnsi" w:cstheme="minorHAnsi"/>
          <w:noProof/>
          <w:sz w:val="21"/>
          <w:szCs w:val="21"/>
        </w:rPr>
      </w:pPr>
      <w:r w:rsidRPr="00E517FF">
        <w:rPr>
          <w:rFonts w:asciiTheme="minorHAnsi" w:hAnsiTheme="minorHAnsi" w:cstheme="minorHAnsi"/>
          <w:noProof/>
          <w:sz w:val="21"/>
          <w:szCs w:val="21"/>
        </w:rPr>
        <w:t>These include deposits banks, building societies, lending institutions, cash management accounts, government and non-government bonds, bank bills, debentures, corporate notes and specialist fixed interest funds.</w:t>
      </w:r>
    </w:p>
    <w:p w14:paraId="0DC582ED" w14:textId="77777777" w:rsidR="00523AA2" w:rsidRPr="00E517FF" w:rsidRDefault="00523AA2" w:rsidP="00E517FF">
      <w:pPr>
        <w:pStyle w:val="BodyTextIndent"/>
        <w:numPr>
          <w:ilvl w:val="1"/>
          <w:numId w:val="1"/>
        </w:numPr>
        <w:ind w:left="993" w:hanging="284"/>
        <w:jc w:val="both"/>
        <w:rPr>
          <w:rFonts w:asciiTheme="minorHAnsi" w:hAnsiTheme="minorHAnsi" w:cstheme="minorHAnsi"/>
          <w:noProof/>
          <w:sz w:val="21"/>
          <w:szCs w:val="21"/>
        </w:rPr>
      </w:pPr>
      <w:r w:rsidRPr="00E517FF">
        <w:rPr>
          <w:rFonts w:asciiTheme="minorHAnsi" w:hAnsiTheme="minorHAnsi" w:cstheme="minorHAnsi"/>
          <w:noProof/>
          <w:sz w:val="21"/>
          <w:szCs w:val="21"/>
        </w:rPr>
        <w:t>International Shares</w:t>
      </w:r>
    </w:p>
    <w:p w14:paraId="6D3C7F82" w14:textId="77777777" w:rsidR="00523AA2" w:rsidRPr="00E517FF" w:rsidRDefault="00523AA2" w:rsidP="00E517FF">
      <w:pPr>
        <w:pStyle w:val="BodyTextIndent"/>
        <w:ind w:left="720"/>
        <w:jc w:val="both"/>
        <w:rPr>
          <w:rFonts w:asciiTheme="minorHAnsi" w:hAnsiTheme="minorHAnsi" w:cstheme="minorHAnsi"/>
          <w:b/>
          <w:noProof/>
          <w:sz w:val="21"/>
          <w:szCs w:val="21"/>
        </w:rPr>
      </w:pPr>
      <w:r w:rsidRPr="00E517FF">
        <w:rPr>
          <w:rFonts w:asciiTheme="minorHAnsi" w:hAnsiTheme="minorHAnsi" w:cstheme="minorHAnsi"/>
          <w:noProof/>
          <w:sz w:val="21"/>
          <w:szCs w:val="21"/>
        </w:rPr>
        <w:t>After research and due diligence, these include investments directly or indirectly in listed and unlisted shares from around the world including listed and unlisted securities including shares, warrants, derivatives, CFD's, derivatives securities and managed funds.</w:t>
      </w:r>
    </w:p>
    <w:p w14:paraId="44F48E05" w14:textId="77777777" w:rsidR="00523AA2" w:rsidRPr="00E517FF" w:rsidRDefault="00523AA2" w:rsidP="00E517FF">
      <w:pPr>
        <w:pStyle w:val="BodyTextIndent"/>
        <w:numPr>
          <w:ilvl w:val="1"/>
          <w:numId w:val="1"/>
        </w:numPr>
        <w:ind w:left="993" w:hanging="284"/>
        <w:jc w:val="both"/>
        <w:rPr>
          <w:rFonts w:asciiTheme="minorHAnsi" w:hAnsiTheme="minorHAnsi" w:cstheme="minorHAnsi"/>
          <w:noProof/>
          <w:sz w:val="21"/>
          <w:szCs w:val="21"/>
        </w:rPr>
      </w:pPr>
      <w:r w:rsidRPr="00E517FF">
        <w:rPr>
          <w:rFonts w:asciiTheme="minorHAnsi" w:hAnsiTheme="minorHAnsi" w:cstheme="minorHAnsi"/>
          <w:noProof/>
          <w:sz w:val="21"/>
          <w:szCs w:val="21"/>
        </w:rPr>
        <w:t>Property</w:t>
      </w:r>
    </w:p>
    <w:p w14:paraId="74F92FF4" w14:textId="77777777" w:rsidR="00523AA2" w:rsidRPr="00E517FF" w:rsidRDefault="00523AA2" w:rsidP="00E517FF">
      <w:pPr>
        <w:pStyle w:val="BodyTextIndent"/>
        <w:ind w:left="720"/>
        <w:jc w:val="both"/>
        <w:rPr>
          <w:rFonts w:asciiTheme="minorHAnsi" w:hAnsiTheme="minorHAnsi" w:cstheme="minorHAnsi"/>
          <w:b/>
          <w:noProof/>
          <w:sz w:val="21"/>
          <w:szCs w:val="21"/>
        </w:rPr>
      </w:pPr>
      <w:r w:rsidRPr="00E517FF">
        <w:rPr>
          <w:rFonts w:asciiTheme="minorHAnsi" w:hAnsiTheme="minorHAnsi" w:cstheme="minorHAnsi"/>
          <w:noProof/>
          <w:sz w:val="21"/>
          <w:szCs w:val="21"/>
        </w:rPr>
        <w:t xml:space="preserve">This includes both direct and indirect investments in listed and unlisted property trusts and property securities funds. </w:t>
      </w:r>
    </w:p>
    <w:p w14:paraId="16B19130" w14:textId="77777777" w:rsidR="00523AA2" w:rsidRPr="00E517FF" w:rsidRDefault="00523AA2" w:rsidP="00E517FF">
      <w:pPr>
        <w:pStyle w:val="BodyTextIndent"/>
        <w:numPr>
          <w:ilvl w:val="1"/>
          <w:numId w:val="1"/>
        </w:numPr>
        <w:ind w:left="993" w:hanging="284"/>
        <w:jc w:val="both"/>
        <w:rPr>
          <w:rFonts w:asciiTheme="minorHAnsi" w:hAnsiTheme="minorHAnsi" w:cstheme="minorHAnsi"/>
          <w:noProof/>
          <w:sz w:val="21"/>
          <w:szCs w:val="21"/>
        </w:rPr>
      </w:pPr>
      <w:r w:rsidRPr="00E517FF">
        <w:rPr>
          <w:rFonts w:asciiTheme="minorHAnsi" w:hAnsiTheme="minorHAnsi" w:cstheme="minorHAnsi"/>
          <w:noProof/>
          <w:sz w:val="21"/>
          <w:szCs w:val="21"/>
        </w:rPr>
        <w:lastRenderedPageBreak/>
        <w:t>Review</w:t>
      </w:r>
    </w:p>
    <w:p w14:paraId="351BA77E" w14:textId="77777777" w:rsidR="00523AA2" w:rsidRPr="00E517FF" w:rsidRDefault="00523AA2" w:rsidP="00E517FF">
      <w:pPr>
        <w:pStyle w:val="BodyTextIndent"/>
        <w:ind w:left="720"/>
        <w:jc w:val="both"/>
        <w:rPr>
          <w:rFonts w:asciiTheme="minorHAnsi" w:hAnsiTheme="minorHAnsi" w:cstheme="minorHAnsi"/>
          <w:noProof/>
          <w:sz w:val="21"/>
          <w:szCs w:val="21"/>
        </w:rPr>
      </w:pPr>
      <w:r w:rsidRPr="00E517FF">
        <w:rPr>
          <w:rFonts w:asciiTheme="minorHAnsi" w:hAnsiTheme="minorHAnsi" w:cstheme="minorHAnsi"/>
          <w:noProof/>
          <w:sz w:val="21"/>
          <w:szCs w:val="21"/>
        </w:rPr>
        <w:t>The Trustees may review this strategy as required, but it will be reviewed at least annually.</w:t>
      </w:r>
    </w:p>
    <w:p w14:paraId="00F56A70" w14:textId="77777777" w:rsidR="00A01916" w:rsidRPr="00E517FF" w:rsidRDefault="00A01916" w:rsidP="00E517FF">
      <w:pPr>
        <w:pStyle w:val="BodyTextIndent"/>
        <w:numPr>
          <w:ilvl w:val="0"/>
          <w:numId w:val="1"/>
        </w:numPr>
        <w:jc w:val="both"/>
        <w:rPr>
          <w:rFonts w:asciiTheme="minorHAnsi" w:hAnsiTheme="minorHAnsi" w:cstheme="minorHAnsi"/>
          <w:b/>
          <w:noProof/>
          <w:sz w:val="21"/>
          <w:szCs w:val="21"/>
        </w:rPr>
      </w:pPr>
      <w:r w:rsidRPr="00E517FF">
        <w:rPr>
          <w:rFonts w:asciiTheme="minorHAnsi" w:hAnsiTheme="minorHAnsi" w:cstheme="minorHAnsi"/>
          <w:b/>
          <w:noProof/>
          <w:sz w:val="21"/>
          <w:szCs w:val="21"/>
        </w:rPr>
        <w:t>INSURANCE</w:t>
      </w:r>
    </w:p>
    <w:p w14:paraId="1078D47B" w14:textId="19DB4C2E" w:rsidR="00A01916" w:rsidRDefault="00A01916" w:rsidP="0001738C">
      <w:pPr>
        <w:spacing w:after="120"/>
        <w:ind w:left="426"/>
        <w:jc w:val="both"/>
        <w:rPr>
          <w:rFonts w:asciiTheme="minorHAnsi" w:hAnsiTheme="minorHAnsi" w:cstheme="minorHAnsi"/>
          <w:sz w:val="21"/>
          <w:szCs w:val="21"/>
        </w:rPr>
      </w:pPr>
      <w:r w:rsidRPr="00E517FF">
        <w:rPr>
          <w:rFonts w:asciiTheme="minorHAnsi" w:hAnsiTheme="minorHAnsi" w:cstheme="minorHAnsi"/>
          <w:sz w:val="21"/>
          <w:szCs w:val="21"/>
        </w:rPr>
        <w:t xml:space="preserve">The Trustees have considered whether the Fund should hold a contract of insurance for its members and concluded that: </w:t>
      </w:r>
    </w:p>
    <w:p w14:paraId="45402240" w14:textId="3429FE02" w:rsidR="0001738C" w:rsidRPr="0001738C" w:rsidRDefault="0001738C" w:rsidP="0001738C">
      <w:pPr>
        <w:spacing w:after="120"/>
        <w:ind w:left="426"/>
        <w:jc w:val="both"/>
        <w:rPr>
          <w:rFonts w:asciiTheme="minorHAnsi" w:hAnsiTheme="minorHAnsi" w:cstheme="minorHAnsi"/>
          <w:sz w:val="21"/>
          <w:szCs w:val="21"/>
        </w:rPr>
      </w:pPr>
      <w:r>
        <w:rPr>
          <w:rFonts w:asciiTheme="minorHAnsi" w:hAnsiTheme="minorHAnsi" w:cstheme="minorHAnsi"/>
          <w:sz w:val="21"/>
          <w:szCs w:val="21"/>
        </w:rPr>
        <w:t>Considered and Declined – The Trustees of the Fund</w:t>
      </w:r>
      <w:r w:rsidR="00B76B43">
        <w:rPr>
          <w:rFonts w:asciiTheme="minorHAnsi" w:hAnsiTheme="minorHAnsi" w:cstheme="minorHAnsi"/>
          <w:sz w:val="21"/>
          <w:szCs w:val="21"/>
        </w:rPr>
        <w:t xml:space="preserve"> have been made aware of the insurances of its members outside the Fund and in some cases other superannuation funds</w:t>
      </w:r>
      <w:r w:rsidR="00C97761">
        <w:rPr>
          <w:rFonts w:asciiTheme="minorHAnsi" w:hAnsiTheme="minorHAnsi" w:cstheme="minorHAnsi"/>
          <w:sz w:val="21"/>
          <w:szCs w:val="21"/>
        </w:rPr>
        <w:t xml:space="preserve"> and have decided not to hold any insurances on behalf of its members until circumstances change.</w:t>
      </w:r>
    </w:p>
    <w:p w14:paraId="067C35D3" w14:textId="77777777" w:rsidR="00523AA2" w:rsidRPr="00E517FF" w:rsidRDefault="00523AA2" w:rsidP="00E517FF">
      <w:pPr>
        <w:pStyle w:val="BodyTextIndent"/>
        <w:ind w:left="0"/>
        <w:jc w:val="both"/>
        <w:rPr>
          <w:rFonts w:asciiTheme="minorHAnsi" w:hAnsiTheme="minorHAnsi" w:cstheme="minorHAnsi"/>
          <w:sz w:val="21"/>
          <w:szCs w:val="21"/>
        </w:rPr>
      </w:pPr>
    </w:p>
    <w:p w14:paraId="66298989" w14:textId="77777777" w:rsidR="00523AA2" w:rsidRPr="00E517FF" w:rsidRDefault="00523AA2" w:rsidP="00E517FF">
      <w:pPr>
        <w:pStyle w:val="BodyTextIndent"/>
        <w:ind w:left="0"/>
        <w:jc w:val="both"/>
        <w:rPr>
          <w:rFonts w:asciiTheme="minorHAnsi" w:hAnsiTheme="minorHAnsi" w:cstheme="minorHAnsi"/>
          <w:sz w:val="21"/>
          <w:szCs w:val="21"/>
        </w:rPr>
      </w:pPr>
      <w:r w:rsidRPr="00E517FF">
        <w:rPr>
          <w:rFonts w:asciiTheme="minorHAnsi" w:hAnsiTheme="minorHAnsi" w:cstheme="minorHAnsi"/>
          <w:sz w:val="21"/>
          <w:szCs w:val="21"/>
        </w:rPr>
        <w:t xml:space="preserve">Signed by the </w:t>
      </w:r>
      <w:r w:rsidR="00A01B91" w:rsidRPr="00E517FF">
        <w:rPr>
          <w:rFonts w:asciiTheme="minorHAnsi" w:hAnsiTheme="minorHAnsi" w:cstheme="minorHAnsi"/>
          <w:sz w:val="21"/>
          <w:szCs w:val="21"/>
        </w:rPr>
        <w:t xml:space="preserve">directors of the Corporate Trustee </w:t>
      </w:r>
      <w:r w:rsidRPr="00E517FF">
        <w:rPr>
          <w:rFonts w:asciiTheme="minorHAnsi" w:hAnsiTheme="minorHAnsi" w:cstheme="minorHAnsi"/>
          <w:sz w:val="21"/>
          <w:szCs w:val="21"/>
        </w:rPr>
        <w:t>pursuant to the Fund Deed.</w:t>
      </w:r>
    </w:p>
    <w:p w14:paraId="628E3B36" w14:textId="77777777" w:rsidR="00523AA2" w:rsidRPr="00E517FF" w:rsidRDefault="00523AA2" w:rsidP="00E517FF">
      <w:pPr>
        <w:pStyle w:val="BodyTextIndent"/>
        <w:ind w:left="0"/>
        <w:rPr>
          <w:rFonts w:asciiTheme="minorHAnsi" w:hAnsiTheme="minorHAnsi" w:cstheme="minorHAnsi"/>
          <w:sz w:val="21"/>
          <w:szCs w:val="21"/>
        </w:rPr>
      </w:pPr>
    </w:p>
    <w:p w14:paraId="05827CC8" w14:textId="77777777" w:rsidR="00523AA2" w:rsidRPr="00E517FF" w:rsidRDefault="00523AA2" w:rsidP="00E517FF">
      <w:pPr>
        <w:pStyle w:val="BodyTextIndent"/>
        <w:ind w:left="0"/>
        <w:rPr>
          <w:rFonts w:asciiTheme="minorHAnsi" w:hAnsiTheme="minorHAnsi" w:cstheme="minorHAnsi"/>
          <w:sz w:val="21"/>
          <w:szCs w:val="21"/>
        </w:rPr>
      </w:pPr>
      <w:r w:rsidRPr="00E517FF">
        <w:rPr>
          <w:rFonts w:asciiTheme="minorHAnsi" w:hAnsiTheme="minorHAnsi" w:cstheme="minorHAnsi"/>
          <w:sz w:val="21"/>
          <w:szCs w:val="21"/>
        </w:rPr>
        <w:tab/>
      </w:r>
    </w:p>
    <w:p w14:paraId="79F9C94A" w14:textId="3B6EDEF3" w:rsidR="00523AA2" w:rsidRPr="00E517FF" w:rsidRDefault="00D824A0" w:rsidP="00E517FF">
      <w:pPr>
        <w:pStyle w:val="BodyTextIndent"/>
        <w:ind w:left="0"/>
        <w:rPr>
          <w:rFonts w:asciiTheme="minorHAnsi" w:hAnsiTheme="minorHAnsi" w:cstheme="minorHAnsi"/>
          <w:sz w:val="21"/>
          <w:szCs w:val="21"/>
        </w:rPr>
      </w:pPr>
      <w:r>
        <w:rPr>
          <w:rFonts w:asciiTheme="minorHAnsi" w:hAnsiTheme="minorHAnsi" w:cstheme="minorHAnsi"/>
          <w:sz w:val="21"/>
          <w:szCs w:val="21"/>
        </w:rPr>
        <w:t>_________________________</w:t>
      </w:r>
      <w:r w:rsidR="00A210A2">
        <w:rPr>
          <w:rFonts w:asciiTheme="minorHAnsi" w:hAnsiTheme="minorHAnsi" w:cstheme="minorHAnsi"/>
          <w:sz w:val="21"/>
          <w:szCs w:val="21"/>
        </w:rPr>
        <w:tab/>
      </w:r>
      <w:r w:rsidR="00A210A2">
        <w:rPr>
          <w:rFonts w:asciiTheme="minorHAnsi" w:hAnsiTheme="minorHAnsi" w:cstheme="minorHAnsi"/>
          <w:sz w:val="21"/>
          <w:szCs w:val="21"/>
        </w:rPr>
        <w:tab/>
      </w:r>
      <w:r w:rsidR="00A210A2">
        <w:rPr>
          <w:rFonts w:asciiTheme="minorHAnsi" w:hAnsiTheme="minorHAnsi" w:cstheme="minorHAnsi"/>
          <w:sz w:val="21"/>
          <w:szCs w:val="21"/>
        </w:rPr>
        <w:tab/>
      </w:r>
      <w:r w:rsidR="00A210A2">
        <w:rPr>
          <w:rFonts w:asciiTheme="minorHAnsi" w:hAnsiTheme="minorHAnsi" w:cstheme="minorHAnsi"/>
          <w:sz w:val="21"/>
          <w:szCs w:val="21"/>
        </w:rPr>
        <w:tab/>
      </w:r>
      <w:r w:rsidR="00A210A2">
        <w:rPr>
          <w:rFonts w:asciiTheme="minorHAnsi" w:hAnsiTheme="minorHAnsi" w:cstheme="minorHAnsi"/>
          <w:sz w:val="21"/>
          <w:szCs w:val="21"/>
        </w:rPr>
        <w:tab/>
      </w:r>
    </w:p>
    <w:p w14:paraId="7EAC0467" w14:textId="675C66C8" w:rsidR="00523AA2" w:rsidRPr="00E517FF" w:rsidRDefault="00523AA2" w:rsidP="00E517FF">
      <w:pPr>
        <w:pStyle w:val="BodyTextIndent"/>
        <w:ind w:left="0"/>
        <w:rPr>
          <w:rFonts w:asciiTheme="minorHAnsi" w:hAnsiTheme="minorHAnsi" w:cstheme="minorHAnsi"/>
          <w:sz w:val="21"/>
          <w:szCs w:val="21"/>
        </w:rPr>
      </w:pPr>
      <w:r w:rsidRPr="00E517FF">
        <w:rPr>
          <w:rFonts w:asciiTheme="minorHAnsi" w:hAnsiTheme="minorHAnsi" w:cstheme="minorHAnsi"/>
          <w:sz w:val="21"/>
          <w:szCs w:val="21"/>
        </w:rPr>
        <w:t xml:space="preserve">30 June </w:t>
      </w:r>
      <w:r w:rsidR="00F57D00">
        <w:rPr>
          <w:rFonts w:asciiTheme="minorHAnsi" w:hAnsiTheme="minorHAnsi" w:cstheme="minorHAnsi"/>
          <w:sz w:val="21"/>
          <w:szCs w:val="21"/>
        </w:rPr>
        <w:t>2022</w:t>
      </w:r>
      <w:r w:rsidR="00D824A0">
        <w:rPr>
          <w:rFonts w:asciiTheme="minorHAnsi" w:hAnsiTheme="minorHAnsi" w:cstheme="minorHAnsi"/>
          <w:sz w:val="21"/>
          <w:szCs w:val="21"/>
        </w:rPr>
        <w:tab/>
      </w:r>
      <w:r w:rsidR="00D824A0">
        <w:rPr>
          <w:rFonts w:asciiTheme="minorHAnsi" w:hAnsiTheme="minorHAnsi" w:cstheme="minorHAnsi"/>
          <w:sz w:val="21"/>
          <w:szCs w:val="21"/>
        </w:rPr>
        <w:tab/>
      </w:r>
      <w:r w:rsidR="00D824A0">
        <w:rPr>
          <w:rFonts w:asciiTheme="minorHAnsi" w:hAnsiTheme="minorHAnsi" w:cstheme="minorHAnsi"/>
          <w:sz w:val="21"/>
          <w:szCs w:val="21"/>
        </w:rPr>
        <w:tab/>
      </w:r>
      <w:r w:rsidR="00D824A0">
        <w:rPr>
          <w:rFonts w:asciiTheme="minorHAnsi" w:hAnsiTheme="minorHAnsi" w:cstheme="minorHAnsi"/>
          <w:sz w:val="21"/>
          <w:szCs w:val="21"/>
        </w:rPr>
        <w:tab/>
      </w:r>
      <w:r w:rsidR="00D824A0">
        <w:rPr>
          <w:rFonts w:asciiTheme="minorHAnsi" w:hAnsiTheme="minorHAnsi" w:cstheme="minorHAnsi"/>
          <w:sz w:val="21"/>
          <w:szCs w:val="21"/>
        </w:rPr>
        <w:tab/>
      </w:r>
      <w:r w:rsidR="00D824A0">
        <w:rPr>
          <w:rFonts w:asciiTheme="minorHAnsi" w:hAnsiTheme="minorHAnsi" w:cstheme="minorHAnsi"/>
          <w:sz w:val="21"/>
          <w:szCs w:val="21"/>
        </w:rPr>
        <w:tab/>
      </w:r>
      <w:r w:rsidR="00D824A0">
        <w:rPr>
          <w:rFonts w:asciiTheme="minorHAnsi" w:hAnsiTheme="minorHAnsi" w:cstheme="minorHAnsi"/>
          <w:sz w:val="21"/>
          <w:szCs w:val="21"/>
        </w:rPr>
        <w:tab/>
      </w:r>
    </w:p>
    <w:p w14:paraId="72C764A1" w14:textId="544BD76F" w:rsidR="007D6F01" w:rsidRDefault="002570C7" w:rsidP="00D824A0">
      <w:pPr>
        <w:pStyle w:val="BodyTextIndent"/>
        <w:ind w:left="0"/>
        <w:rPr>
          <w:rFonts w:asciiTheme="minorHAnsi" w:hAnsiTheme="minorHAnsi" w:cstheme="minorHAnsi"/>
          <w:sz w:val="21"/>
          <w:szCs w:val="21"/>
        </w:rPr>
      </w:pPr>
      <w:r>
        <w:rPr>
          <w:rFonts w:asciiTheme="minorHAnsi" w:hAnsiTheme="minorHAnsi" w:cstheme="minorHAnsi"/>
          <w:sz w:val="21"/>
          <w:szCs w:val="21"/>
        </w:rPr>
        <w:t xml:space="preserve">Danny Wong </w:t>
      </w:r>
      <w:r w:rsidR="007D6F01">
        <w:rPr>
          <w:rFonts w:asciiTheme="minorHAnsi" w:hAnsiTheme="minorHAnsi" w:cstheme="minorHAnsi"/>
          <w:sz w:val="21"/>
          <w:szCs w:val="21"/>
        </w:rPr>
        <w:tab/>
      </w:r>
      <w:r w:rsidR="007D6F01">
        <w:rPr>
          <w:rFonts w:asciiTheme="minorHAnsi" w:hAnsiTheme="minorHAnsi" w:cstheme="minorHAnsi"/>
          <w:sz w:val="21"/>
          <w:szCs w:val="21"/>
        </w:rPr>
        <w:tab/>
      </w:r>
      <w:r w:rsidR="007D6F01">
        <w:rPr>
          <w:rFonts w:asciiTheme="minorHAnsi" w:hAnsiTheme="minorHAnsi" w:cstheme="minorHAnsi"/>
          <w:sz w:val="21"/>
          <w:szCs w:val="21"/>
        </w:rPr>
        <w:tab/>
      </w:r>
      <w:r w:rsidR="007D6F01">
        <w:rPr>
          <w:rFonts w:asciiTheme="minorHAnsi" w:hAnsiTheme="minorHAnsi" w:cstheme="minorHAnsi"/>
          <w:sz w:val="21"/>
          <w:szCs w:val="21"/>
        </w:rPr>
        <w:tab/>
      </w:r>
      <w:r w:rsidR="007D6F01">
        <w:rPr>
          <w:rFonts w:asciiTheme="minorHAnsi" w:hAnsiTheme="minorHAnsi" w:cstheme="minorHAnsi"/>
          <w:sz w:val="21"/>
          <w:szCs w:val="21"/>
        </w:rPr>
        <w:tab/>
      </w:r>
    </w:p>
    <w:p w14:paraId="37E78D57" w14:textId="6BE6D72A" w:rsidR="00D824A0" w:rsidRDefault="00D824A0" w:rsidP="00D824A0">
      <w:pPr>
        <w:pStyle w:val="BodyTextIndent"/>
        <w:ind w:left="0"/>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sidR="007D6F01">
        <w:rPr>
          <w:rFonts w:asciiTheme="minorHAnsi" w:hAnsiTheme="minorHAnsi" w:cstheme="minorHAnsi"/>
          <w:sz w:val="21"/>
          <w:szCs w:val="21"/>
        </w:rPr>
        <w:tab/>
      </w:r>
    </w:p>
    <w:p w14:paraId="376AAB67" w14:textId="77777777" w:rsidR="002570C7" w:rsidRDefault="002570C7" w:rsidP="002570C7">
      <w:pPr>
        <w:pStyle w:val="BodyTextIndent"/>
        <w:ind w:left="0"/>
        <w:rPr>
          <w:rFonts w:asciiTheme="minorHAnsi" w:hAnsiTheme="minorHAnsi" w:cstheme="minorHAnsi"/>
          <w:sz w:val="21"/>
          <w:szCs w:val="21"/>
        </w:rPr>
      </w:pPr>
    </w:p>
    <w:p w14:paraId="7E04AB39" w14:textId="77777777" w:rsidR="002570C7" w:rsidRDefault="002570C7" w:rsidP="002570C7">
      <w:pPr>
        <w:pStyle w:val="BodyTextIndent"/>
        <w:ind w:left="0"/>
        <w:rPr>
          <w:rFonts w:asciiTheme="minorHAnsi" w:hAnsiTheme="minorHAnsi" w:cstheme="minorHAnsi"/>
          <w:sz w:val="21"/>
          <w:szCs w:val="21"/>
        </w:rPr>
      </w:pPr>
    </w:p>
    <w:p w14:paraId="15C6423A" w14:textId="123E6065" w:rsidR="002570C7" w:rsidRPr="00E517FF" w:rsidRDefault="002570C7" w:rsidP="002570C7">
      <w:pPr>
        <w:pStyle w:val="BodyTextIndent"/>
        <w:ind w:left="0"/>
        <w:rPr>
          <w:rFonts w:asciiTheme="minorHAnsi" w:hAnsiTheme="minorHAnsi" w:cstheme="minorHAnsi"/>
          <w:sz w:val="21"/>
          <w:szCs w:val="21"/>
        </w:rPr>
      </w:pPr>
      <w:r>
        <w:rPr>
          <w:rFonts w:asciiTheme="minorHAnsi" w:hAnsiTheme="minorHAnsi" w:cstheme="minorHAnsi"/>
          <w:sz w:val="21"/>
          <w:szCs w:val="21"/>
        </w:rPr>
        <w:t>_________________________</w:t>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p>
    <w:p w14:paraId="71E75840" w14:textId="4E2174E5" w:rsidR="002570C7" w:rsidRPr="00E517FF" w:rsidRDefault="002570C7" w:rsidP="002570C7">
      <w:pPr>
        <w:pStyle w:val="BodyTextIndent"/>
        <w:ind w:left="0"/>
        <w:rPr>
          <w:rFonts w:asciiTheme="minorHAnsi" w:hAnsiTheme="minorHAnsi" w:cstheme="minorHAnsi"/>
          <w:sz w:val="21"/>
          <w:szCs w:val="21"/>
        </w:rPr>
      </w:pPr>
      <w:r w:rsidRPr="00E517FF">
        <w:rPr>
          <w:rFonts w:asciiTheme="minorHAnsi" w:hAnsiTheme="minorHAnsi" w:cstheme="minorHAnsi"/>
          <w:sz w:val="21"/>
          <w:szCs w:val="21"/>
        </w:rPr>
        <w:t xml:space="preserve">30 June </w:t>
      </w:r>
      <w:r w:rsidR="00F57D00">
        <w:rPr>
          <w:rFonts w:asciiTheme="minorHAnsi" w:hAnsiTheme="minorHAnsi" w:cstheme="minorHAnsi"/>
          <w:sz w:val="21"/>
          <w:szCs w:val="21"/>
        </w:rPr>
        <w:t>2022</w:t>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p>
    <w:p w14:paraId="53317D65" w14:textId="65B51DC4" w:rsidR="002570C7" w:rsidRDefault="002570C7" w:rsidP="002570C7">
      <w:pPr>
        <w:pStyle w:val="BodyTextIndent"/>
        <w:ind w:left="0"/>
        <w:rPr>
          <w:rFonts w:asciiTheme="minorHAnsi" w:hAnsiTheme="minorHAnsi" w:cstheme="minorHAnsi"/>
          <w:sz w:val="21"/>
          <w:szCs w:val="21"/>
        </w:rPr>
      </w:pPr>
      <w:proofErr w:type="spellStart"/>
      <w:r>
        <w:rPr>
          <w:rFonts w:asciiTheme="minorHAnsi" w:hAnsiTheme="minorHAnsi" w:cstheme="minorHAnsi"/>
          <w:sz w:val="21"/>
          <w:szCs w:val="21"/>
        </w:rPr>
        <w:t>Jou</w:t>
      </w:r>
      <w:proofErr w:type="spellEnd"/>
      <w:r>
        <w:rPr>
          <w:rFonts w:asciiTheme="minorHAnsi" w:hAnsiTheme="minorHAnsi" w:cstheme="minorHAnsi"/>
          <w:sz w:val="21"/>
          <w:szCs w:val="21"/>
        </w:rPr>
        <w:t xml:space="preserve">-Hua Che </w:t>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p>
    <w:p w14:paraId="4FB341B7" w14:textId="2CA46622" w:rsidR="00AE0F02" w:rsidRDefault="002570C7" w:rsidP="002570C7">
      <w:pPr>
        <w:pStyle w:val="BodyTextIndent"/>
        <w:ind w:left="0"/>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p>
    <w:p w14:paraId="2AECF827" w14:textId="77777777" w:rsidR="00AE0F02" w:rsidRDefault="00AE0F02" w:rsidP="00E517FF">
      <w:pPr>
        <w:pStyle w:val="BodyTextIndent"/>
        <w:ind w:left="0"/>
        <w:rPr>
          <w:rFonts w:asciiTheme="minorHAnsi" w:hAnsiTheme="minorHAnsi" w:cstheme="minorHAnsi"/>
          <w:sz w:val="21"/>
          <w:szCs w:val="21"/>
        </w:rPr>
      </w:pPr>
    </w:p>
    <w:sectPr w:rsidR="00AE0F02" w:rsidSect="00E517FF">
      <w:footerReference w:type="default" r:id="rId9"/>
      <w:pgSz w:w="11906" w:h="16838"/>
      <w:pgMar w:top="709" w:right="851" w:bottom="992" w:left="851"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61EE7" w14:textId="77777777" w:rsidR="008239E1" w:rsidRDefault="008239E1" w:rsidP="00523AA2">
      <w:r>
        <w:separator/>
      </w:r>
    </w:p>
  </w:endnote>
  <w:endnote w:type="continuationSeparator" w:id="0">
    <w:p w14:paraId="5FAC4670" w14:textId="77777777" w:rsidR="008239E1" w:rsidRDefault="008239E1" w:rsidP="0052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997300"/>
      <w:docPartObj>
        <w:docPartGallery w:val="Page Numbers (Bottom of Page)"/>
        <w:docPartUnique/>
      </w:docPartObj>
    </w:sdtPr>
    <w:sdtEndPr>
      <w:rPr>
        <w:rFonts w:ascii="Arial" w:hAnsi="Arial" w:cs="Arial"/>
        <w:noProof/>
        <w:color w:val="A6A6A6" w:themeColor="background1" w:themeShade="A6"/>
        <w:sz w:val="16"/>
      </w:rPr>
    </w:sdtEndPr>
    <w:sdtContent>
      <w:p w14:paraId="1C44D3DE" w14:textId="77777777" w:rsidR="008428E3" w:rsidRPr="008428E3" w:rsidRDefault="00EE7A02" w:rsidP="008428E3">
        <w:pPr>
          <w:pStyle w:val="Footer"/>
          <w:tabs>
            <w:tab w:val="clear" w:pos="9026"/>
            <w:tab w:val="right" w:pos="9781"/>
          </w:tabs>
          <w:ind w:right="-472"/>
          <w:jc w:val="right"/>
          <w:rPr>
            <w:rFonts w:ascii="Arial" w:hAnsi="Arial" w:cs="Arial"/>
            <w:color w:val="A6A6A6" w:themeColor="background1" w:themeShade="A6"/>
            <w:sz w:val="16"/>
          </w:rPr>
        </w:pPr>
        <w:r w:rsidRPr="008428E3">
          <w:rPr>
            <w:rFonts w:ascii="Arial" w:hAnsi="Arial" w:cs="Arial"/>
            <w:color w:val="A6A6A6" w:themeColor="background1" w:themeShade="A6"/>
            <w:sz w:val="16"/>
          </w:rPr>
          <w:fldChar w:fldCharType="begin"/>
        </w:r>
        <w:r w:rsidR="008428E3" w:rsidRPr="008428E3">
          <w:rPr>
            <w:rFonts w:ascii="Arial" w:hAnsi="Arial" w:cs="Arial"/>
            <w:color w:val="A6A6A6" w:themeColor="background1" w:themeShade="A6"/>
            <w:sz w:val="16"/>
          </w:rPr>
          <w:instrText xml:space="preserve"> PAGE   \* MERGEFORMAT </w:instrText>
        </w:r>
        <w:r w:rsidRPr="008428E3">
          <w:rPr>
            <w:rFonts w:ascii="Arial" w:hAnsi="Arial" w:cs="Arial"/>
            <w:color w:val="A6A6A6" w:themeColor="background1" w:themeShade="A6"/>
            <w:sz w:val="16"/>
          </w:rPr>
          <w:fldChar w:fldCharType="separate"/>
        </w:r>
        <w:r w:rsidR="00F77C98">
          <w:rPr>
            <w:rFonts w:ascii="Arial" w:hAnsi="Arial" w:cs="Arial"/>
            <w:noProof/>
            <w:color w:val="A6A6A6" w:themeColor="background1" w:themeShade="A6"/>
            <w:sz w:val="16"/>
          </w:rPr>
          <w:t>4</w:t>
        </w:r>
        <w:r w:rsidRPr="008428E3">
          <w:rPr>
            <w:rFonts w:ascii="Arial" w:hAnsi="Arial" w:cs="Arial"/>
            <w:noProof/>
            <w:color w:val="A6A6A6" w:themeColor="background1" w:themeShade="A6"/>
            <w:sz w:val="16"/>
          </w:rPr>
          <w:fldChar w:fldCharType="end"/>
        </w:r>
      </w:p>
    </w:sdtContent>
  </w:sdt>
  <w:p w14:paraId="17809F6D" w14:textId="77777777" w:rsidR="008428E3" w:rsidRDefault="00842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2A20A" w14:textId="77777777" w:rsidR="008239E1" w:rsidRDefault="008239E1" w:rsidP="00523AA2">
      <w:r>
        <w:separator/>
      </w:r>
    </w:p>
  </w:footnote>
  <w:footnote w:type="continuationSeparator" w:id="0">
    <w:p w14:paraId="0A63544C" w14:textId="77777777" w:rsidR="008239E1" w:rsidRDefault="008239E1" w:rsidP="00523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148DE"/>
    <w:multiLevelType w:val="hybridMultilevel"/>
    <w:tmpl w:val="5596C28A"/>
    <w:lvl w:ilvl="0" w:tplc="0290B202">
      <w:start w:val="1"/>
      <w:numFmt w:val="bullet"/>
      <w:lvlText w:val=""/>
      <w:lvlJc w:val="left"/>
      <w:pPr>
        <w:ind w:left="720" w:hanging="360"/>
      </w:pPr>
      <w:rPr>
        <w:rFonts w:ascii="Symbol" w:hAnsi="Symbol" w:hint="default"/>
      </w:rPr>
    </w:lvl>
    <w:lvl w:ilvl="1" w:tplc="0BFAE3BA">
      <w:start w:val="1"/>
      <w:numFmt w:val="lowerRoman"/>
      <w:lvlText w:val="%2."/>
      <w:lvlJc w:val="right"/>
      <w:pPr>
        <w:ind w:left="1440" w:hanging="360"/>
      </w:pPr>
      <w:rPr>
        <w:b w:val="0"/>
      </w:rPr>
    </w:lvl>
    <w:lvl w:ilvl="2" w:tplc="0BFAE3BA">
      <w:start w:val="1"/>
      <w:numFmt w:val="lowerRoman"/>
      <w:lvlText w:val="%3."/>
      <w:lvlJc w:val="right"/>
      <w:pPr>
        <w:ind w:left="2160" w:hanging="180"/>
      </w:pPr>
      <w:rPr>
        <w:b w:val="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94D5915"/>
    <w:multiLevelType w:val="hybridMultilevel"/>
    <w:tmpl w:val="87DA2C7C"/>
    <w:lvl w:ilvl="0" w:tplc="0C09000F">
      <w:start w:val="1"/>
      <w:numFmt w:val="decimal"/>
      <w:lvlText w:val="%1."/>
      <w:lvlJc w:val="left"/>
      <w:pPr>
        <w:ind w:left="720" w:hanging="360"/>
      </w:pPr>
    </w:lvl>
    <w:lvl w:ilvl="1" w:tplc="0BFAE3BA">
      <w:start w:val="1"/>
      <w:numFmt w:val="lowerRoman"/>
      <w:lvlText w:val="%2."/>
      <w:lvlJc w:val="right"/>
      <w:pPr>
        <w:ind w:left="1440" w:hanging="360"/>
      </w:pPr>
      <w:rPr>
        <w:b w:val="0"/>
      </w:rPr>
    </w:lvl>
    <w:lvl w:ilvl="2" w:tplc="0BFAE3BA">
      <w:start w:val="1"/>
      <w:numFmt w:val="lowerRoman"/>
      <w:lvlText w:val="%3."/>
      <w:lvlJc w:val="right"/>
      <w:pPr>
        <w:ind w:left="2160" w:hanging="180"/>
      </w:pPr>
      <w:rPr>
        <w:b w:val="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0D05327"/>
    <w:multiLevelType w:val="hybridMultilevel"/>
    <w:tmpl w:val="791ED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941A6A"/>
    <w:multiLevelType w:val="hybridMultilevel"/>
    <w:tmpl w:val="300807BC"/>
    <w:lvl w:ilvl="0" w:tplc="0C090013">
      <w:start w:val="1"/>
      <w:numFmt w:val="upperRoman"/>
      <w:lvlText w:val="%1."/>
      <w:lvlJc w:val="right"/>
      <w:pPr>
        <w:ind w:left="720" w:hanging="360"/>
      </w:pPr>
    </w:lvl>
    <w:lvl w:ilvl="1" w:tplc="0BFAE3BA">
      <w:start w:val="1"/>
      <w:numFmt w:val="lowerRoman"/>
      <w:lvlText w:val="%2."/>
      <w:lvlJc w:val="right"/>
      <w:pPr>
        <w:ind w:left="1440" w:hanging="360"/>
      </w:pPr>
      <w:rPr>
        <w:b w:val="0"/>
      </w:rPr>
    </w:lvl>
    <w:lvl w:ilvl="2" w:tplc="0BFAE3BA">
      <w:start w:val="1"/>
      <w:numFmt w:val="lowerRoman"/>
      <w:lvlText w:val="%3."/>
      <w:lvlJc w:val="right"/>
      <w:pPr>
        <w:ind w:left="2160" w:hanging="180"/>
      </w:pPr>
      <w:rPr>
        <w:b w:val="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A2"/>
    <w:rsid w:val="0001738C"/>
    <w:rsid w:val="0006496E"/>
    <w:rsid w:val="00067CA5"/>
    <w:rsid w:val="000A7DA9"/>
    <w:rsid w:val="000C1883"/>
    <w:rsid w:val="000D28E9"/>
    <w:rsid w:val="001251D7"/>
    <w:rsid w:val="0014738E"/>
    <w:rsid w:val="00170641"/>
    <w:rsid w:val="00186EB8"/>
    <w:rsid w:val="001C1CB5"/>
    <w:rsid w:val="001E2B62"/>
    <w:rsid w:val="00240A28"/>
    <w:rsid w:val="002463A0"/>
    <w:rsid w:val="002570C7"/>
    <w:rsid w:val="002A47CC"/>
    <w:rsid w:val="002A74AF"/>
    <w:rsid w:val="003958A5"/>
    <w:rsid w:val="003F1C2F"/>
    <w:rsid w:val="004153C0"/>
    <w:rsid w:val="0044515A"/>
    <w:rsid w:val="00453B95"/>
    <w:rsid w:val="004F7A7A"/>
    <w:rsid w:val="00502D38"/>
    <w:rsid w:val="005202CF"/>
    <w:rsid w:val="00523AA2"/>
    <w:rsid w:val="005A19A4"/>
    <w:rsid w:val="00652114"/>
    <w:rsid w:val="00653984"/>
    <w:rsid w:val="006E1381"/>
    <w:rsid w:val="00746A86"/>
    <w:rsid w:val="00755FBB"/>
    <w:rsid w:val="00770D6B"/>
    <w:rsid w:val="007751C3"/>
    <w:rsid w:val="00791CB5"/>
    <w:rsid w:val="007D5F38"/>
    <w:rsid w:val="007D6F01"/>
    <w:rsid w:val="007E5964"/>
    <w:rsid w:val="007F5646"/>
    <w:rsid w:val="008239E1"/>
    <w:rsid w:val="008428E3"/>
    <w:rsid w:val="00853EC3"/>
    <w:rsid w:val="008E0CB5"/>
    <w:rsid w:val="00915390"/>
    <w:rsid w:val="009A58F9"/>
    <w:rsid w:val="00A01916"/>
    <w:rsid w:val="00A01B91"/>
    <w:rsid w:val="00A210A2"/>
    <w:rsid w:val="00A24A2A"/>
    <w:rsid w:val="00A5780A"/>
    <w:rsid w:val="00AD0244"/>
    <w:rsid w:val="00AD7CB8"/>
    <w:rsid w:val="00AE0F02"/>
    <w:rsid w:val="00B06925"/>
    <w:rsid w:val="00B76B43"/>
    <w:rsid w:val="00BA264B"/>
    <w:rsid w:val="00BA3E48"/>
    <w:rsid w:val="00C16E09"/>
    <w:rsid w:val="00C206B3"/>
    <w:rsid w:val="00C60F04"/>
    <w:rsid w:val="00C97761"/>
    <w:rsid w:val="00CB5A53"/>
    <w:rsid w:val="00CD63DB"/>
    <w:rsid w:val="00CE71BF"/>
    <w:rsid w:val="00D60561"/>
    <w:rsid w:val="00D754C9"/>
    <w:rsid w:val="00D824A0"/>
    <w:rsid w:val="00E517FF"/>
    <w:rsid w:val="00ED2704"/>
    <w:rsid w:val="00EE7A02"/>
    <w:rsid w:val="00F5775C"/>
    <w:rsid w:val="00F57D00"/>
    <w:rsid w:val="00F77C98"/>
    <w:rsid w:val="00F9367D"/>
    <w:rsid w:val="00FA2FF5"/>
    <w:rsid w:val="00FD6AF2"/>
    <w:rsid w:val="00FF5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5C12"/>
  <w15:docId w15:val="{799DAD86-BA2B-43B7-9411-0DE3FFB0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A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23AA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AA2"/>
    <w:rPr>
      <w:rFonts w:ascii="Times New Roman" w:eastAsia="Times New Roman" w:hAnsi="Times New Roman" w:cs="Times New Roman"/>
      <w:b/>
      <w:sz w:val="20"/>
      <w:szCs w:val="20"/>
    </w:rPr>
  </w:style>
  <w:style w:type="paragraph" w:styleId="BodyText">
    <w:name w:val="Body Text"/>
    <w:basedOn w:val="Normal"/>
    <w:link w:val="BodyTextChar"/>
    <w:semiHidden/>
    <w:unhideWhenUsed/>
    <w:rsid w:val="00523AA2"/>
    <w:pPr>
      <w:spacing w:after="120"/>
    </w:pPr>
  </w:style>
  <w:style w:type="character" w:customStyle="1" w:styleId="BodyTextChar">
    <w:name w:val="Body Text Char"/>
    <w:basedOn w:val="DefaultParagraphFont"/>
    <w:link w:val="BodyText"/>
    <w:semiHidden/>
    <w:rsid w:val="00523A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523AA2"/>
    <w:pPr>
      <w:spacing w:after="120"/>
      <w:ind w:left="283"/>
    </w:pPr>
  </w:style>
  <w:style w:type="character" w:customStyle="1" w:styleId="BodyTextIndentChar">
    <w:name w:val="Body Text Indent Char"/>
    <w:basedOn w:val="DefaultParagraphFont"/>
    <w:link w:val="BodyTextIndent"/>
    <w:uiPriority w:val="99"/>
    <w:rsid w:val="00523AA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23AA2"/>
    <w:pPr>
      <w:tabs>
        <w:tab w:val="center" w:pos="4513"/>
        <w:tab w:val="right" w:pos="9026"/>
      </w:tabs>
    </w:pPr>
  </w:style>
  <w:style w:type="character" w:customStyle="1" w:styleId="HeaderChar">
    <w:name w:val="Header Char"/>
    <w:basedOn w:val="DefaultParagraphFont"/>
    <w:link w:val="Header"/>
    <w:uiPriority w:val="99"/>
    <w:rsid w:val="00523A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23AA2"/>
    <w:pPr>
      <w:tabs>
        <w:tab w:val="center" w:pos="4513"/>
        <w:tab w:val="right" w:pos="9026"/>
      </w:tabs>
    </w:pPr>
  </w:style>
  <w:style w:type="character" w:customStyle="1" w:styleId="FooterChar">
    <w:name w:val="Footer Char"/>
    <w:basedOn w:val="DefaultParagraphFont"/>
    <w:link w:val="Footer"/>
    <w:uiPriority w:val="99"/>
    <w:rsid w:val="00523AA2"/>
    <w:rPr>
      <w:rFonts w:ascii="Times New Roman" w:eastAsia="Times New Roman" w:hAnsi="Times New Roman" w:cs="Times New Roman"/>
      <w:sz w:val="20"/>
      <w:szCs w:val="20"/>
    </w:rPr>
  </w:style>
  <w:style w:type="paragraph" w:styleId="ListParagraph">
    <w:name w:val="List Paragraph"/>
    <w:basedOn w:val="Normal"/>
    <w:uiPriority w:val="34"/>
    <w:qFormat/>
    <w:rsid w:val="006E1381"/>
    <w:pPr>
      <w:ind w:left="720"/>
      <w:contextualSpacing/>
    </w:pPr>
  </w:style>
  <w:style w:type="paragraph" w:styleId="BalloonText">
    <w:name w:val="Balloon Text"/>
    <w:basedOn w:val="Normal"/>
    <w:link w:val="BalloonTextChar"/>
    <w:uiPriority w:val="99"/>
    <w:semiHidden/>
    <w:unhideWhenUsed/>
    <w:rsid w:val="004F7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A7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3F45A0BDB9E4449A730C64103702AF" ma:contentTypeVersion="16" ma:contentTypeDescription="Create a new document." ma:contentTypeScope="" ma:versionID="3b6d3ec335c0ae87698a93e702bc909e">
  <xsd:schema xmlns:xsd="http://www.w3.org/2001/XMLSchema" xmlns:xs="http://www.w3.org/2001/XMLSchema" xmlns:p="http://schemas.microsoft.com/office/2006/metadata/properties" xmlns:ns2="4ee1a914-b71b-4378-a835-59b43c16b6b8" xmlns:ns3="eaf698a9-9392-4881-8c4e-9e1aa0e53c6b" targetNamespace="http://schemas.microsoft.com/office/2006/metadata/properties" ma:root="true" ma:fieldsID="7d9efa659bb815c335e8b78b6a9d394a" ns2:_="" ns3:_="">
    <xsd:import namespace="4ee1a914-b71b-4378-a835-59b43c16b6b8"/>
    <xsd:import namespace="eaf698a9-9392-4881-8c4e-9e1aa0e53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1a914-b71b-4378-a835-59b43c16b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f9e6ab-cc7d-4607-ac1a-80aa9b9f198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698a9-9392-4881-8c4e-9e1aa0e53c6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73b2d4b-b50a-4273-8baa-943f168f37aa}" ma:internalName="TaxCatchAll" ma:showField="CatchAllData" ma:web="eaf698a9-9392-4881-8c4e-9e1aa0e53c6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F7703-5EB3-4C3A-B389-DF57FD3CFFBD}">
  <ds:schemaRefs>
    <ds:schemaRef ds:uri="http://schemas.microsoft.com/sharepoint/v3/contenttype/forms"/>
  </ds:schemaRefs>
</ds:datastoreItem>
</file>

<file path=customXml/itemProps2.xml><?xml version="1.0" encoding="utf-8"?>
<ds:datastoreItem xmlns:ds="http://schemas.openxmlformats.org/officeDocument/2006/customXml" ds:itemID="{6FA6CEBB-BFC1-4336-9C31-D25142200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1a914-b71b-4378-a835-59b43c16b6b8"/>
    <ds:schemaRef ds:uri="eaf698a9-9392-4881-8c4e-9e1aa0e53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 Kirby</dc:creator>
  <cp:lastModifiedBy>Tarkan Oz</cp:lastModifiedBy>
  <cp:revision>2</cp:revision>
  <cp:lastPrinted>2023-02-07T03:35:00Z</cp:lastPrinted>
  <dcterms:created xsi:type="dcterms:W3CDTF">2023-02-07T03:35:00Z</dcterms:created>
  <dcterms:modified xsi:type="dcterms:W3CDTF">2023-02-07T03:35:00Z</dcterms:modified>
</cp:coreProperties>
</file>