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9A58" w14:textId="79515058" w:rsidR="00D86195" w:rsidRDefault="00A703EB">
      <w:r>
        <w:t xml:space="preserve">There have been no changes to the regulating documents of this fund for the 2022 financial year. </w:t>
      </w:r>
    </w:p>
    <w:p w14:paraId="3F8434DB" w14:textId="77777777" w:rsidR="00A703EB" w:rsidRDefault="00A703EB"/>
    <w:sectPr w:rsidR="00A70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4B"/>
    <w:rsid w:val="00A703EB"/>
    <w:rsid w:val="00AB724B"/>
    <w:rsid w:val="00D8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3B627"/>
  <w15:chartTrackingRefBased/>
  <w15:docId w15:val="{81433DDD-F2E0-4322-9BBC-605AA7BB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Flinn</dc:creator>
  <cp:keywords/>
  <dc:description/>
  <cp:lastModifiedBy>Stuart Flinn</cp:lastModifiedBy>
  <cp:revision>2</cp:revision>
  <dcterms:created xsi:type="dcterms:W3CDTF">2022-07-29T04:09:00Z</dcterms:created>
  <dcterms:modified xsi:type="dcterms:W3CDTF">2022-07-29T04:09:00Z</dcterms:modified>
</cp:coreProperties>
</file>