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Burke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Carlton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Sally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Carlton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BA &amp;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SJ Carlton Superannuation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