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20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Patrick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8969387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Gabriella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2289199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Daniel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7960034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Vicki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Supermurphs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