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Adams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Marianne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Adams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M Adams Superannuation Fund 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