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01/07/2020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Simon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Simson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Jacob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Lacy-Herbert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S &amp;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J Super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